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94"/>
        <w:jc w:val="left"/>
        <w:rPr>
          <w:b/>
          <w:szCs w:val="2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80175" cy="1187450"/>
                <wp:effectExtent l="0" t="0" r="0" b="0"/>
                <wp:docPr id="1" name="Изображение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052649" name="Изображение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rcRect l="11261" t="29760" r="6241" b="25484"/>
                        <a:stretch/>
                      </pic:blipFill>
                      <pic:spPr bwMode="auto">
                        <a:xfrm>
                          <a:off x="0" y="0"/>
                          <a:ext cx="6480172" cy="11874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0.25pt;height:93.5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1149"/>
        <w:spacing w:before="0" w:after="0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                                                   </w:t>
      </w: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ind w:firstLine="567"/>
        <w:jc w:val="right"/>
        <w:spacing w:line="240" w:lineRule="auto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b w:val="0"/>
          <w:bCs w:val="0"/>
          <w:sz w:val="24"/>
          <w:szCs w:val="24"/>
        </w:rPr>
        <w:t xml:space="preserve">«УТВЕРЖДАЮ»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103"/>
        <w:jc w:val="right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u w:val="none"/>
        </w:rPr>
        <w:t xml:space="preserve">Заместитель председателя закупочной комиссии</w:t>
      </w:r>
      <w:r>
        <w:rPr>
          <w:b w:val="0"/>
          <w:bCs w:val="0"/>
          <w:sz w:val="24"/>
          <w:szCs w:val="24"/>
          <w:u w:val="none"/>
        </w:rPr>
        <w:t xml:space="preserve"> </w:t>
      </w:r>
      <w:r>
        <w:rPr>
          <w:b w:val="0"/>
          <w:bCs w:val="0"/>
          <w:sz w:val="24"/>
          <w:szCs w:val="24"/>
        </w:rPr>
        <w:t xml:space="preserve">АО «ДГК» 1-го уровня</w:t>
      </w:r>
      <w:r>
        <w:rPr>
          <w:b w:val="0"/>
          <w:bCs w:val="0"/>
          <w:sz w:val="24"/>
          <w:szCs w:val="24"/>
        </w:rPr>
        <w:t xml:space="preserve">-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103"/>
        <w:jc w:val="right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Заместитель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Генерального директора по безопасности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АО «ДГК»</w:t>
      </w:r>
      <w:r/>
      <w:r>
        <w:rPr>
          <w:b w:val="0"/>
          <w:bCs w:val="0"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center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__________________ </w:t>
      </w:r>
      <w:r>
        <w:rPr>
          <w:b w:val="0"/>
          <w:bCs w:val="0"/>
          <w:sz w:val="24"/>
          <w:szCs w:val="24"/>
        </w:rPr>
        <w:t xml:space="preserve">А.В.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Петров</w:t>
      </w:r>
      <w:r/>
      <w:r>
        <w:rPr>
          <w:b w:val="0"/>
          <w:bCs w:val="0"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keepLines/>
        <w:spacing w:after="160" w:line="240" w:lineRule="auto"/>
        <w:rPr>
          <w:b/>
          <w:bCs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              </w:t>
      </w:r>
      <w:r>
        <w:rPr>
          <w:b w:val="0"/>
          <w:bCs w:val="0"/>
          <w:sz w:val="24"/>
          <w:szCs w:val="24"/>
        </w:rPr>
        <w:t xml:space="preserve">   «___» _______________</w:t>
      </w:r>
      <w:r>
        <w:rPr>
          <w:b w:val="0"/>
          <w:bCs w:val="0"/>
          <w:sz w:val="24"/>
          <w:szCs w:val="24"/>
        </w:rPr>
        <w:t xml:space="preserve">___</w:t>
      </w:r>
      <w:r>
        <w:rPr>
          <w:b w:val="0"/>
          <w:bCs w:val="0"/>
          <w:sz w:val="24"/>
          <w:szCs w:val="24"/>
        </w:rPr>
        <w:t xml:space="preserve"> 2026</w:t>
      </w:r>
      <w:r>
        <w:rPr>
          <w:b w:val="0"/>
          <w:bCs w:val="0"/>
          <w:sz w:val="24"/>
          <w:szCs w:val="24"/>
        </w:rPr>
        <w:t xml:space="preserve"> г.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567"/>
        <w:jc w:val="right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4395" w:hanging="1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245"/>
        <w:jc w:val="right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94"/>
        <w:ind w:right="425" w:hanging="1134"/>
        <w:jc w:val="right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7"/>
      </w:pPr>
      <w:r/>
      <w:r/>
    </w:p>
    <w:p>
      <w:pPr>
        <w:pStyle w:val="1107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ind w:left="57" w:right="57" w:firstLine="0"/>
        <w:jc w:val="center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</w:p>
    <w:p>
      <w:pPr>
        <w:ind w:left="57" w:right="57" w:firstLine="0"/>
        <w:jc w:val="center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contextualSpacing w:val="0"/>
        <w:ind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2"/>
          <w:szCs w:val="22"/>
          <w:highlight w:val="none"/>
          <w:u w:val="none"/>
          <w:vertAlign w:val="baseline"/>
        </w:rPr>
        <w:suppressLineNumbers w:val="0"/>
      </w:pPr>
      <w:r>
        <w:rPr>
          <w:i w:val="0"/>
          <w:iCs w:val="0"/>
          <w:sz w:val="28"/>
          <w:szCs w:val="28"/>
        </w:rPr>
      </w:r>
      <w:r>
        <w:rPr>
          <w:b w:val="0"/>
          <w:bCs w:val="0"/>
          <w:sz w:val="28"/>
          <w:szCs w:val="28"/>
        </w:rPr>
        <w:t xml:space="preserve">Аукцион</w:t>
      </w:r>
      <w:r>
        <w:rPr>
          <w:b w:val="0"/>
          <w:bCs w:val="0"/>
          <w:sz w:val="28"/>
          <w:szCs w:val="28"/>
        </w:rPr>
        <w:t xml:space="preserve"> в электронной форме,</w:t>
      </w:r>
      <w:r>
        <w:rPr>
          <w:b w:val="0"/>
          <w:bCs w:val="0"/>
          <w:sz w:val="28"/>
          <w:szCs w:val="28"/>
        </w:rPr>
        <w:t xml:space="preserve">участниками которого могут быть только субъекты МСП,</w:t>
      </w:r>
      <w:r>
        <w:rPr>
          <w:b w:val="0"/>
          <w:bCs w:val="0"/>
          <w:sz w:val="28"/>
          <w:szCs w:val="28"/>
        </w:rPr>
        <w:t xml:space="preserve">на право заключения договора на</w:t>
      </w:r>
      <w:r>
        <w:rPr>
          <w:b w:val="0"/>
          <w:bCs w:val="0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u w:val="none"/>
          <w:vertAlign w:val="baseline"/>
        </w:rPr>
        <w:t xml:space="preserve">ОКПД2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u w:val="none"/>
          <w:vertAlign w:val="baseline"/>
        </w:rPr>
        <w:t xml:space="preserve">28.13.14 Поставка насосного оборудования для реализации проекта </w:t>
      </w:r>
      <w:r>
        <w:rPr>
          <w:bCs/>
          <w:sz w:val="28"/>
          <w:szCs w:val="28"/>
          <w:lang w:eastAsia="en-US"/>
        </w:rPr>
        <w:t xml:space="preserve">P_505-ПГРЭС-162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u w:val="none"/>
          <w:vertAlign w:val="baseline"/>
        </w:rPr>
        <w:t xml:space="preserve"> СП «Партизанская ГРЭС», г. Партизанск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highlight w:val="none"/>
          <w:u w:val="none"/>
          <w:vertAlign w:val="baseline"/>
        </w:rPr>
      </w:r>
      <w:r>
        <w:rPr>
          <w:b w:val="0"/>
          <w:bCs w:val="0"/>
          <w:sz w:val="28"/>
          <w:szCs w:val="28"/>
        </w:rPr>
      </w:r>
      <w:r>
        <w:rPr>
          <w:i/>
          <w:sz w:val="28"/>
          <w:szCs w:val="28"/>
        </w:rPr>
      </w: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highlight w:val="none"/>
          <w:u w:val="none"/>
          <w:vertAlign w:val="baseline"/>
        </w:rPr>
      </w:r>
    </w:p>
    <w:p>
      <w:pPr>
        <w:ind w:left="-108" w:right="-108" w:firstLine="0"/>
        <w:jc w:val="center"/>
        <w:spacing w:before="11" w:after="11"/>
        <w:widowControl w:val="off"/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</w:p>
    <w:p>
      <w:pPr>
        <w:ind w:firstLine="0"/>
        <w:jc w:val="center"/>
        <w:rPr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  <w:t xml:space="preserve">(Лот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22216043-ТПИР ОТМ-2026-ДГК</w:t>
      </w:r>
      <w:r>
        <w:rPr>
          <w:i w:val="0"/>
          <w:iCs w:val="0"/>
          <w:sz w:val="28"/>
          <w:szCs w:val="28"/>
          <w:lang w:eastAsia="en-US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ind w:left="-108" w:right="-108" w:firstLine="0"/>
        <w:jc w:val="center"/>
        <w:spacing w:before="11" w:after="11"/>
        <w:widowControl w:val="off"/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</w:p>
    <w:p>
      <w:pPr>
        <w:ind w:left="-108" w:right="-108" w:firstLine="0"/>
        <w:jc w:val="center"/>
        <w:spacing w:before="60" w:after="60"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7" w:right="57" w:firstLine="0"/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</w:p>
    <w:p>
      <w:pPr>
        <w:jc w:val="center"/>
        <w:spacing w:line="240" w:lineRule="auto"/>
        <w:rPr>
          <w:rFonts w:eastAsia="Liberation Serif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</w:p>
    <w:p>
      <w:pPr>
        <w:pStyle w:val="1107"/>
        <w:jc w:val="center"/>
        <w:keepNext/>
        <w:spacing w:before="240"/>
        <w:rPr>
          <w:rStyle w:val="1112"/>
        </w:rPr>
      </w:pPr>
      <w:r>
        <w:rPr>
          <w:rStyle w:val="1112"/>
        </w:rPr>
      </w:r>
      <w:r>
        <w:rPr>
          <w:rStyle w:val="1112"/>
        </w:rPr>
      </w:r>
      <w:r>
        <w:rPr>
          <w:rStyle w:val="1112"/>
        </w:rPr>
      </w:r>
    </w:p>
    <w:p>
      <w:pPr>
        <w:pStyle w:val="1106"/>
        <w:outlineLvl w:val="2"/>
      </w:pPr>
      <w:r>
        <w:t xml:space="preserve">Содержание</w:t>
      </w:r>
      <w:r/>
    </w:p>
    <w:p>
      <w:pPr>
        <w:pStyle w:val="1120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17"/>
          </w:rPr>
        </w:r>
        <w:r>
          <w:rPr>
            <w:rStyle w:val="1117"/>
          </w:rPr>
          <w:t xml:space="preserve">Сокращения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 \h</w:instrText>
          <w:fldChar w:fldCharType="separate"/>
        </w:r>
        <w:r>
          <w:rPr>
            <w:rStyle w:val="1117"/>
          </w:rPr>
          <w:t xml:space="preserve">5</w:t>
        </w:r>
        <w:r>
          <w:fldChar w:fldCharType="end"/>
        </w:r>
      </w:hyperlink>
      <w:r/>
      <w:r/>
    </w:p>
    <w:p>
      <w:pPr>
        <w:pStyle w:val="1120"/>
        <w:tabs>
          <w:tab w:val="right" w:pos="9923" w:leader="none"/>
        </w:tabs>
      </w:pPr>
      <w:r/>
      <w:hyperlink w:tooltip="#_Toc2" w:anchor="_Toc2" w:history="1">
        <w:r>
          <w:rPr>
            <w:rStyle w:val="1117"/>
          </w:rPr>
        </w:r>
        <w:r>
          <w:rPr>
            <w:rStyle w:val="1117"/>
          </w:rPr>
          <w:t xml:space="preserve">Термины и определения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 \h</w:instrText>
          <w:fldChar w:fldCharType="separate"/>
        </w:r>
        <w:r>
          <w:rPr>
            <w:rStyle w:val="1117"/>
          </w:rPr>
          <w:t xml:space="preserve">7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Основные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Статус настоящего раздела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Информация о проводимой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Правовой статус документов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Обжалование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Особые положения при проведении закупки с использованием ЭП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Прочие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требования к Участникам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Генеральные подрядчики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Общий 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Официальное размещение Извещения и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Подготовка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Разъяснение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Изменения </w:t>
        </w:r>
        <w:r>
          <w:rPr>
            <w:rStyle w:val="1117"/>
          </w:rPr>
          <w:t xml:space="preserve">Извещени</w:t>
        </w:r>
        <w:r>
          <w:rPr>
            <w:rStyle w:val="1117"/>
          </w:rPr>
          <w:t xml:space="preserve">я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(или)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Документаци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Подача заявок и их прием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Изменение и отзыв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первым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</w:t>
        </w:r>
        <w:r>
          <w:rPr>
            <w:rStyle w:val="1117"/>
          </w:rPr>
          <w:t xml:space="preserve">первых частей </w:t>
        </w:r>
        <w:r>
          <w:rPr>
            <w:rStyle w:val="1117"/>
          </w:rPr>
          <w:t xml:space="preserve">заявок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(</w:t>
        </w:r>
        <w:r>
          <w:rPr>
            <w:rStyle w:val="1117"/>
          </w:rPr>
          <w:t xml:space="preserve">отборочная стадия</w:t>
        </w:r>
        <w:r>
          <w:rPr>
            <w:rStyle w:val="1117"/>
          </w:rPr>
          <w:t xml:space="preserve">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Проведение аукциона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32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ко вторым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вторых частей заявок</w:t>
        </w:r>
        <w:r>
          <w:rPr>
            <w:rStyle w:val="1117"/>
          </w:rPr>
          <w:t xml:space="preserve"> (отборочная стадия)</w:t>
        </w:r>
        <w:r>
          <w:rPr>
            <w:rStyle w:val="1117"/>
          </w:rPr>
          <w:t xml:space="preserve">, в том числе (при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необходимости) проведение аккредитации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ценовым предложениям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ценовых предложений (отборочная стадия)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запросы разъяснений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36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Оценка и сопоставление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Применение </w:t>
        </w:r>
        <w:r>
          <w:rPr>
            <w:rStyle w:val="1117"/>
          </w:rPr>
          <w:t xml:space="preserve">законодательства о национальном режиме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Подведение итогов закупки (определение Победителя)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Признание закупки несостоявшейся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40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Отказ от проведения закупки</w:t>
        </w:r>
        <w:r>
          <w:rPr>
            <w:rStyle w:val="1117"/>
          </w:rPr>
          <w:t xml:space="preserve"> (отмена закупки)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</w:t>
        </w:r>
        <w:r>
          <w:rPr>
            <w:rStyle w:val="1117"/>
          </w:rPr>
          <w:t xml:space="preserve"> проведения закупки с необходимостью обеспечения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 проведения м</w:t>
        </w:r>
        <w:r>
          <w:rPr>
            <w:rStyle w:val="1117"/>
          </w:rPr>
          <w:t xml:space="preserve">ноголотов</w:t>
        </w:r>
        <w:r>
          <w:rPr>
            <w:rStyle w:val="1117"/>
          </w:rPr>
          <w:t xml:space="preserve">ой</w:t>
        </w:r>
        <w:r>
          <w:rPr>
            <w:rStyle w:val="1117"/>
          </w:rPr>
          <w:t xml:space="preserve"> закупк</w:t>
        </w:r>
        <w:r>
          <w:rPr>
            <w:rStyle w:val="1117"/>
          </w:rPr>
          <w:t xml:space="preserve">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44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орядок заключения </w:t>
        </w:r>
        <w:r>
          <w:rPr>
            <w:rStyle w:val="1117"/>
          </w:rPr>
          <w:t xml:space="preserve">Д</w:t>
        </w:r>
        <w:r>
          <w:rPr>
            <w:rStyle w:val="1117"/>
          </w:rPr>
          <w:t xml:space="preserve">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Заключение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Уклонение Победителя от заключения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48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 – Технические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Техническим требованиям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2 – Проект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роекту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3 – 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требованиям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Обязательные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Специальные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т</w:t>
        </w:r>
        <w:r>
          <w:rPr>
            <w:rStyle w:val="1117"/>
          </w:rPr>
          <w:t xml:space="preserve">ребования к Генеральным подрядчикам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4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</w:t>
        </w:r>
        <w:r>
          <w:rPr>
            <w:rStyle w:val="1117"/>
          </w:rPr>
          <w:t xml:space="preserve">м</w:t>
        </w:r>
        <w:r>
          <w:rPr>
            <w:rStyle w:val="1117"/>
          </w:rPr>
          <w:t xml:space="preserve">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5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Образцам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«Заверение об обстоятельствах»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6</w:t>
        </w:r>
        <w:r>
          <w:rPr>
            <w:rStyle w:val="1117"/>
          </w:rPr>
          <w:t xml:space="preserve"> –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7</w:t>
        </w:r>
        <w:r>
          <w:rPr>
            <w:rStyle w:val="1117"/>
          </w:rPr>
          <w:t xml:space="preserve"> – Отборочные критерии рассмотрения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17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17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62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64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17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17"/>
            <w:i w:val="0"/>
            <w:iCs w:val="0"/>
            <w:shd w:val="clear" w:color="auto" w:fill="auto"/>
          </w:rPr>
          <w:t xml:space="preserve">ок</w:t>
        </w:r>
        <w:r>
          <w:rPr>
            <w:rStyle w:val="1117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17"/>
            <w:i w:val="0"/>
            <w:iCs w:val="0"/>
            <w:shd w:val="clear" w:color="auto" w:fill="auto"/>
          </w:rPr>
          <w:t xml:space="preserve">е</w:t>
        </w:r>
        <w:r>
          <w:rPr>
            <w:rStyle w:val="1117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66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8</w:t>
        </w:r>
        <w:r>
          <w:rPr>
            <w:rStyle w:val="1117"/>
          </w:rPr>
          <w:t xml:space="preserve"> – 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9</w:t>
        </w:r>
        <w:r>
          <w:rPr>
            <w:rStyle w:val="1117"/>
          </w:rPr>
          <w:t xml:space="preserve"> – Обоснование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Обоснованию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</w:t>
        </w:r>
        <w:r>
          <w:rPr>
            <w:rStyle w:val="1117"/>
          </w:rPr>
          <w:t xml:space="preserve">0</w:t>
        </w:r>
        <w:r>
          <w:rPr>
            <w:rStyle w:val="1117"/>
          </w:rPr>
          <w:t xml:space="preserve"> – Форма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форме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>
          <w:fldChar w:fldCharType="end"/>
        </w:r>
      </w:hyperlink>
      <w:r/>
      <w:r/>
    </w:p>
    <w:p>
      <w:pPr>
        <w:pStyle w:val="1107"/>
      </w:pPr>
      <w:r>
        <w:fldChar w:fldCharType="end"/>
      </w:r>
      <w:r/>
    </w:p>
    <w:p>
      <w:pPr>
        <w:pStyle w:val="1107"/>
        <w:keepNext/>
        <w:spacing w:before="60"/>
        <w:rPr>
          <w:rStyle w:val="1138"/>
        </w:rPr>
      </w:pPr>
      <w:r>
        <w:rPr>
          <w:rStyle w:val="1138"/>
        </w:rPr>
        <w:t xml:space="preserve">[Примечание (дополнительные удобства работы с Документацией о закупке; </w:t>
      </w:r>
      <w:r>
        <w:rPr>
          <w:rStyle w:val="1138"/>
        </w:rPr>
        <w:t xml:space="preserve">Microsoft Word | </w:t>
      </w:r>
      <w:r>
        <w:rPr>
          <w:rStyle w:val="1138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38"/>
        </w:rPr>
        <w:t xml:space="preserve">):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38"/>
        </w:rPr>
        <w:t xml:space="preserve"> </w:t>
      </w:r>
      <w:r>
        <w:rPr>
          <w:rStyle w:val="1138"/>
        </w:rPr>
        <w:t xml:space="preserve">| </w:t>
      </w:r>
      <w:r>
        <w:rPr>
          <w:rStyle w:val="1138"/>
          <w:color w:val="4472c4" w:themeColor="accent1"/>
        </w:rPr>
        <w:t xml:space="preserve">включается на вкладке «Вид» опцией «Навигатор»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переход по перекрестным и другим ссылкам осуществляется левым кликом мыши с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зажатой клавишей Ctrl, обратный возврат на место в тексте, с котор</w:t>
      </w:r>
      <w:r>
        <w:rPr>
          <w:rStyle w:val="1138"/>
        </w:rPr>
        <w:t xml:space="preserve">ого</w:t>
      </w:r>
      <w:r>
        <w:rPr>
          <w:rStyle w:val="1138"/>
        </w:rPr>
        <w:t xml:space="preserve"> был </w:t>
      </w:r>
      <w:r>
        <w:rPr>
          <w:rStyle w:val="1138"/>
        </w:rPr>
        <w:t xml:space="preserve">сделан</w:t>
      </w:r>
      <w:r>
        <w:rPr>
          <w:rStyle w:val="1138"/>
        </w:rPr>
        <w:t xml:space="preserve"> переход, осуществляется нажатием стрелки влево (←) с зажатой левой клавишей Alt</w:t>
      </w:r>
      <w:r>
        <w:rPr>
          <w:rStyle w:val="1138"/>
        </w:rPr>
        <w:t xml:space="preserve"> </w:t>
      </w:r>
      <w:r>
        <w:rPr>
          <w:rStyle w:val="1138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38"/>
        </w:rPr>
        <w:t xml:space="preserve">е</w:t>
      </w:r>
      <w:r>
        <w:rPr>
          <w:rStyle w:val="1138"/>
        </w:rPr>
        <w:t xml:space="preserve"> документа (файла) в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тексте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38"/>
        </w:rPr>
        <w:t xml:space="preserve">.]</w:t>
      </w:r>
      <w:r>
        <w:rPr>
          <w:rStyle w:val="1138"/>
        </w:rPr>
      </w:r>
      <w:r>
        <w:rPr>
          <w:rStyle w:val="1138"/>
        </w:rPr>
      </w:r>
    </w:p>
    <w:p>
      <w:pPr>
        <w:pStyle w:val="1106"/>
        <w:outlineLvl w:val="0"/>
      </w:pPr>
      <w:r/>
      <w:bookmarkStart w:id="367" w:name="_Toc1"/>
      <w:r>
        <w:t xml:space="preserve">Сокращения</w:t>
      </w:r>
      <w:bookmarkEnd w:id="367"/>
      <w:r/>
      <w:r/>
    </w:p>
    <w:p>
      <w:pPr>
        <w:pStyle w:val="1107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07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07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07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07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07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ПП 395</w:t>
      </w:r>
      <w: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07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07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06"/>
        <w:outlineLvl w:val="0"/>
      </w:pPr>
      <w:r/>
      <w:bookmarkStart w:id="368" w:name="_Toc2"/>
      <w:r>
        <w:t xml:space="preserve">Термины и определения</w:t>
      </w:r>
      <w:bookmarkEnd w:id="368"/>
      <w:r/>
      <w:r/>
    </w:p>
    <w:p>
      <w:pPr>
        <w:pStyle w:val="1107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07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07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07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07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07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07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07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07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15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07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15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07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 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 </w:t>
      </w:r>
      <w:r>
        <w:t xml:space="preserve">, выступающих на стороне одного участника закупки 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01"/>
      </w:pPr>
      <w:r/>
      <w:bookmarkStart w:id="369" w:name="_Toc3"/>
      <w:r/>
      <w:bookmarkStart w:id="3" w:name="_Ref125359988"/>
      <w:r>
        <w:t xml:space="preserve">Основные сведения о закупке</w:t>
      </w:r>
      <w:bookmarkEnd w:id="3"/>
      <w:r/>
      <w:bookmarkEnd w:id="369"/>
      <w:r/>
      <w:r/>
    </w:p>
    <w:p>
      <w:pPr>
        <w:pStyle w:val="1102"/>
      </w:pPr>
      <w:r/>
      <w:bookmarkStart w:id="370" w:name="_Toc4"/>
      <w:r>
        <w:t xml:space="preserve">Статус настоящего раздела</w:t>
      </w:r>
      <w:bookmarkEnd w:id="370"/>
      <w:r/>
      <w:r/>
    </w:p>
    <w:p>
      <w:pPr>
        <w:pStyle w:val="1103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03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</w:t>
        </w:r>
        <w:r>
          <w:rPr>
            <w:rStyle w:val="1131"/>
          </w:rPr>
          <w:t xml:space="preserve">ях (Приложение № 1)</w:t>
        </w:r>
      </w:hyperlink>
      <w:r>
        <w:rPr>
          <w:rStyle w:val="1131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</w:t>
        </w:r>
        <w:r>
          <w:rPr>
            <w:rStyle w:val="1131"/>
          </w:rPr>
          <w:t xml:space="preserve">е</w:t>
        </w:r>
        <w:r>
          <w:rPr>
            <w:rStyle w:val="1131"/>
          </w:rPr>
          <w:t xml:space="preserve">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03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02"/>
        <w:spacing w:after="120"/>
      </w:pPr>
      <w:r/>
      <w:bookmarkStart w:id="371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371"/>
      <w:r/>
      <w:r/>
    </w:p>
    <w:tbl>
      <w:tblPr>
        <w:tblStyle w:val="1128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3038"/>
        <w:gridCol w:w="5802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>
          <w:trHeight w:val="791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firstLine="0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Лот 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22216043-ТПИР ОТМ-2026-ДГК</w:t>
            </w:r>
            <w:r>
              <w:rPr>
                <w:b/>
                <w:bCs/>
                <w:sz w:val="28"/>
                <w:szCs w:val="28"/>
                <w:highlight w:val="none"/>
              </w:rPr>
            </w:r>
            <w:r>
              <w:rPr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 w:val="0"/>
              <w:ind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8"/>
                <w:szCs w:val="28"/>
                <w:u w:val="none"/>
                <w:vertAlign w:val="baseline"/>
              </w:rPr>
              <w:t xml:space="preserve">ОКПД2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8"/>
                <w:szCs w:val="28"/>
                <w:u w:val="none"/>
                <w:vertAlign w:val="baseline"/>
              </w:rPr>
              <w:t xml:space="preserve">28.13.14 Поставка насосного оборудования для реализации проекта </w:t>
            </w:r>
            <w:r>
              <w:rPr>
                <w:bCs/>
                <w:sz w:val="28"/>
                <w:szCs w:val="28"/>
                <w:lang w:eastAsia="en-US"/>
              </w:rPr>
              <w:t xml:space="preserve">P_505-ПГРЭС-162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8"/>
                <w:szCs w:val="28"/>
                <w:u w:val="none"/>
                <w:vertAlign w:val="baseline"/>
              </w:rPr>
              <w:t xml:space="preserve"> СП «Партизанская ГРЭС», г. Партизанск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8"/>
                <w:szCs w:val="28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8"/>
                <w:szCs w:val="28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8"/>
                <w:szCs w:val="28"/>
                <w:highlight w:val="none"/>
                <w:u w:val="none"/>
                <w:vertAlign w:val="baseline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(Приложении № 1)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094"/>
              <w:ind w:left="35"/>
              <w:jc w:val="left"/>
              <w:spacing w:before="120" w:after="0"/>
            </w:pPr>
            <w:r>
              <w:t xml:space="preserve">Электронная площадка</w:t>
            </w:r>
            <w:r>
              <w:t xml:space="preserve">:</w:t>
            </w:r>
            <w:r>
              <w:rPr>
                <w:rStyle w:val="1117"/>
              </w:rPr>
            </w:r>
            <w:hyperlink r:id="rId13" w:tooltip="https://msp.roseltorg.ru" w:history="1">
              <w:r>
                <w:rPr>
                  <w:rStyle w:val="1117"/>
                </w:rPr>
                <w:t xml:space="preserve">https://corp.roseltorg.ru</w:t>
              </w:r>
            </w:hyperlink>
            <w:r>
              <w:t xml:space="preserve">.</w:t>
            </w:r>
            <w:r>
              <w:rPr>
                <w:rStyle w:val="1117"/>
              </w:rPr>
            </w:r>
            <w:r/>
          </w:p>
          <w:p>
            <w:pPr>
              <w:pStyle w:val="1094"/>
              <w:ind w:left="38"/>
              <w:spacing w:before="120" w:after="120"/>
              <w:rPr>
                <w:i/>
                <w:shd w:val="clear" w:color="auto" w:fill="ffff99"/>
              </w:rPr>
            </w:pPr>
            <w:r>
              <w:t xml:space="preserve">Регламент ЭТП, в соответствии с которым проводится закупка, размещен по адресу: </w:t>
            </w:r>
            <w:r>
              <w:rPr>
                <w:rStyle w:val="1112"/>
              </w:rPr>
            </w:r>
            <w:hyperlink r:id="rId14" w:tooltip="http://www.roseltorg.ru/knowledge_db/docs/documents" w:history="1">
              <w:r>
                <w:rPr>
                  <w:rStyle w:val="1117"/>
                </w:rPr>
                <w:t xml:space="preserve">www.roseltorg.ru/knowledge_db/docs/documents</w:t>
              </w:r>
              <w:r>
                <w:rPr>
                  <w:rStyle w:val="1117"/>
                </w:rPr>
              </w:r>
              <w:r>
                <w:rPr>
                  <w:rStyle w:val="1117"/>
                  <w:i/>
                  <w:shd w:val="clear" w:color="auto" w:fill="ffff99"/>
                </w:rPr>
              </w:r>
            </w:hyperlink>
            <w:r>
              <w:rPr>
                <w:i/>
                <w:shd w:val="clear" w:color="auto" w:fill="ffff99"/>
              </w:rPr>
            </w:r>
            <w:r>
              <w:rPr>
                <w:i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rStyle w:val="1112"/>
              </w:rPr>
            </w: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5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6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Организатора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Контактное лицо (Ф.И.О.):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Лукьянова Татьяна Сергеевна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26-48-59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/>
                <w:i w:val="0"/>
                <w:sz w:val="28"/>
                <w:szCs w:val="28"/>
                <w:shd w:val="clear" w:color="auto" w:fill="auto"/>
              </w:rPr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hyperlink r:id="rId17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17"/>
                  <w:rFonts w:eastAsia="Open Sans"/>
                  <w:b w:val="0"/>
                  <w:color w:val="0000ee"/>
                  <w:sz w:val="28"/>
                  <w:szCs w:val="28"/>
                </w:rPr>
                <w:t xml:space="preserve">lukyanova-ts@dgk.ru</w:t>
              </w:r>
            </w:hyperlink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«16»</w:t>
            </w:r>
            <w:r>
              <w:rPr>
                <w:highlight w:val="white"/>
              </w:rPr>
              <w:t xml:space="preserve"> 06</w:t>
            </w:r>
            <w:r>
              <w:rPr>
                <w:highlight w:val="white"/>
              </w:rPr>
              <w:t xml:space="preserve">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094"/>
              <w:ind w:left="142" w:right="160" w:firstLine="0"/>
              <w:jc w:val="both"/>
              <w:spacing w:before="11" w:after="11"/>
              <w:widowControl w:val="off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Н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МЦ составляет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24 673 007,33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 рублей без учета НДС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r>
          </w:p>
          <w:p>
            <w:pPr>
              <w:pStyle w:val="1107"/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31"/>
                </w:rPr>
                <w:t xml:space="preserve">Приложени</w:t>
              </w:r>
              <w:r>
                <w:rPr>
                  <w:rStyle w:val="1131"/>
                </w:rPr>
                <w:t xml:space="preserve">и</w:t>
              </w:r>
              <w:r>
                <w:rPr>
                  <w:rStyle w:val="1131"/>
                </w:rPr>
                <w:t xml:space="preserve">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9</w:t>
              </w:r>
            </w:hyperlink>
            <w:r>
              <w:t xml:space="preserve">.</w:t>
            </w:r>
            <w:r>
              <w:rPr>
                <w:rStyle w:val="1112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Шаг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0,5% – 5,0% от НМЦ, что составляет: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1107"/>
            </w:pPr>
            <w:r>
              <w:t xml:space="preserve">123 365,04руб.- 1 233 650,37руб, без учета НДС.</w:t>
            </w:r>
            <w:r>
              <w:rPr>
                <w:sz w:val="28"/>
                <w:szCs w:val="28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Требуется</w:t>
            </w:r>
            <w:r>
              <w:rPr>
                <w:b/>
                <w:bCs/>
                <w:sz w:val="28"/>
                <w:szCs w:val="28"/>
                <w:u w:val="single"/>
              </w:rPr>
            </w:r>
            <w:r>
              <w:rPr>
                <w:b/>
                <w:bCs/>
                <w:sz w:val="28"/>
                <w:szCs w:val="28"/>
                <w:u w:val="single"/>
              </w:rPr>
            </w:r>
          </w:p>
          <w:p>
            <w:pPr>
              <w:pStyle w:val="1107"/>
            </w:pPr>
            <w:r>
              <w:rPr>
                <w:sz w:val="28"/>
                <w:szCs w:val="28"/>
              </w:rPr>
              <w:t xml:space="preserve">Размер обеспечения заявок: </w:t>
            </w:r>
            <w:r>
              <w:rPr>
                <w:sz w:val="28"/>
                <w:szCs w:val="28"/>
                <w:lang w:eastAsia="en-US"/>
              </w:rPr>
              <w:t xml:space="preserve">248 359,66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(</w:t>
            </w:r>
            <w:r/>
            <w:r>
              <w:t xml:space="preserve">двести сорок восемь тысяч триста пятьдесят девять) рублей 66 копеек</w:t>
            </w:r>
            <w:r/>
            <w:r>
              <w:t xml:space="preserve">, НДС не облагается.</w:t>
            </w:r>
            <w:r>
              <w:rPr>
                <w:b w:val="0"/>
                <w:bCs w:val="0"/>
                <w:sz w:val="28"/>
                <w:szCs w:val="28"/>
              </w:rPr>
            </w:r>
            <w:r/>
          </w:p>
          <w:p>
            <w:pPr>
              <w:pStyle w:val="1107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0" w:firstLine="0"/>
            </w:pPr>
            <w:r>
              <w:t xml:space="preserve">в</w:t>
            </w:r>
            <w:r>
              <w:t xml:space="preserve">несение денежных средств на специальный банковский счет, открытый Участ</w:t>
            </w:r>
            <w:r>
              <w:t xml:space="preserve">ником в банке, включенном в перечень, </w:t>
            </w:r>
            <w:r>
              <w:t xml:space="preserve">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160" w:firstLine="0"/>
              <w:rPr>
                <w:b/>
                <w:bCs/>
                <w:u w:val="single"/>
              </w:rPr>
            </w:pPr>
            <w:r>
              <w:t xml:space="preserve">предоставление независимой гарантии</w:t>
            </w:r>
            <w:r>
              <w:t xml:space="preserve">, составленной </w:t>
            </w:r>
            <w:r>
              <w:rPr>
                <w:b/>
                <w:bCs/>
                <w:u w:val="single"/>
              </w:rPr>
              <w:t xml:space="preserve">с учетом требований подраздела </w:t>
            </w:r>
            <w:r>
              <w:rPr>
                <w:b/>
                <w:bCs/>
                <w:u w:val="single"/>
              </w:rPr>
              <w:t xml:space="preserve">4.21.</w:t>
            </w: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получателя: АО «Дальневосточная генерирующая компания»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ИНН 1434031363 КПП 997650001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Р/с 40702810270000008818 в Дальневосточном Банке ПАО «Сбербанк России» г. Хабаровск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К/с 30101810600000000608 БИК 040813608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b/>
                <w:bCs/>
                <w:i/>
                <w:iCs/>
                <w:u w:val="single"/>
                <w:shd w:val="clear" w:color="auto" w:fill="auto"/>
              </w:rPr>
              <w:t xml:space="preserve">Внимание!</w:t>
            </w:r>
            <w:r>
              <w:rPr>
                <w:rStyle w:val="1112"/>
                <w:i/>
                <w:iCs/>
                <w:u w:val="single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 Регламентом ЭП на счете Участника, открытом ему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ператора ЭП.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</w:tc>
      </w:tr>
      <w:tr>
        <w:tblPrEx/>
        <w:trPr>
          <w:trHeight w:val="2587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</w:t>
            </w:r>
            <w:r>
              <w:t xml:space="preserve"> </w:t>
            </w:r>
            <w:r>
              <w:t xml:space="preserve">параметрам эквивалентности, указанным 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</w:t>
              </w:r>
              <w:r>
                <w:rPr>
                  <w:rStyle w:val="1131"/>
                </w:rPr>
                <w:t xml:space="preserve">я</w:t>
              </w:r>
              <w:r>
                <w:rPr>
                  <w:rStyle w:val="1131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</w:t>
            </w:r>
            <w:r/>
          </w:p>
        </w:tc>
      </w:tr>
      <w:tr>
        <w:tblPrEx/>
        <w:trPr>
          <w:trHeight w:val="1671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ind w:left="57" w:right="57"/>
              <w:spacing w:before="0"/>
              <w:rPr>
                <w:color w:val="000000" w:themeColor="text1"/>
                <w:sz w:val="22"/>
                <w:highlight w:val="white"/>
              </w:rPr>
            </w:pPr>
            <w:r>
              <w:rPr>
                <w:sz w:val="28"/>
                <w:szCs w:val="28"/>
              </w:rPr>
            </w:r>
            <w:commentRangeStart w:id="0"/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Установлен режим ограничения закупки иностранной продукции (когда национальный режим не предоставляется) Перечень продукции Приложение № 2 ПП РФ № 1875 от 23.12.2024</w:t>
            </w:r>
            <w:commentRangeEnd w:id="0"/>
            <w:r>
              <w:commentReference w:id="0"/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bCs w:val="0"/>
                <w:i w:val="0"/>
                <w:color w:val="ff0000"/>
                <w:sz w:val="28"/>
                <w:szCs w:val="28"/>
              </w:rPr>
            </w:r>
            <w:r>
              <w:rPr>
                <w:bCs w:val="0"/>
                <w:i w:val="0"/>
                <w:color w:val="ff0000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начала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«16»</w:t>
            </w:r>
            <w:r>
              <w:rPr>
                <w:highlight w:val="white"/>
              </w:rPr>
              <w:t xml:space="preserve"> 06.</w:t>
            </w:r>
            <w:r>
              <w:rPr>
                <w:highlight w:val="white"/>
              </w:rPr>
              <w:t xml:space="preserve">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«25»</w:t>
            </w:r>
            <w:r>
              <w:rPr>
                <w:highlight w:val="white"/>
              </w:rPr>
              <w:t xml:space="preserve"> 06</w:t>
            </w:r>
            <w:r>
              <w:rPr>
                <w:highlight w:val="white"/>
              </w:rPr>
              <w:t xml:space="preserve">. 2026 г. в 17 ч.00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«25» 06.2026г. в 17ч. 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  <w:p>
            <w:pPr>
              <w:pStyle w:val="1107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«06» 07.2026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rPr>
                <w:b/>
                <w:bCs/>
                <w:highlight w:val="white"/>
              </w:rPr>
              <w:t xml:space="preserve">«08» 07.2026 г. в 16 ч. 00 мин.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t xml:space="preserve">(если иное время не установлено Оператором ЭП в автоматическом режиме)</w:t>
            </w:r>
            <w:r/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>
          <w:trHeight w:val="1090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«20» 07.2026г.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rPr>
                <w:rStyle w:val="1112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«22</w:t>
            </w:r>
            <w:r>
              <w:rPr>
                <w:highlight w:val="white"/>
              </w:rPr>
              <w:t xml:space="preserve">» 07.2026г.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предоставляется</w:t>
            </w:r>
            <w:r>
              <w:t xml:space="preserve">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Один победитель.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0" w:right="0" w:firstLine="0"/>
              <w:rPr>
                <w:b w:val="0"/>
                <w:bCs w:val="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Канцелярия АО «ДГК»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pStyle w:val="1149"/>
              <w:jc w:val="left"/>
              <w:spacing w:after="120"/>
              <w:rPr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Почтовый адрес: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680000 г. Хабаровск ул. Фрунзе, 49,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тел. (4212) 26-42-43,  (4212) 26-43-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63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контактное лицо указать: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для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Нехороших Наталии Анатольевны</w:t>
            </w:r>
            <w:r>
              <w:rPr>
                <w:b w:val="0"/>
                <w:bCs w:val="0"/>
                <w:sz w:val="28"/>
                <w:szCs w:val="28"/>
              </w:rPr>
              <w:t xml:space="preserve">»</w:t>
            </w:r>
            <w:r>
              <w:rPr>
                <w:b w:val="0"/>
                <w:bCs w:val="0"/>
                <w:sz w:val="28"/>
                <w:szCs w:val="28"/>
              </w:rPr>
              <w:t xml:space="preserve">.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pStyle w:val="1149"/>
              <w:spacing w:after="120"/>
              <w:rPr>
                <w:b w:val="0"/>
                <w:bCs w:val="0"/>
                <w:i w:val="0"/>
                <w:iCs w:val="0"/>
                <w:sz w:val="28"/>
                <w:szCs w:val="28"/>
                <w:highlight w:val="none"/>
                <w:shd w:val="clear" w:color="auto" w:fill="auto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</w:t>
            </w:r>
            <w:r>
              <w:rPr>
                <w:sz w:val="28"/>
                <w:szCs w:val="28"/>
                <w:lang w:eastAsia="en-US"/>
              </w:rPr>
              <w:t xml:space="preserve">26-41-27</w:t>
            </w:r>
            <w:r>
              <w:rPr>
                <w:sz w:val="28"/>
                <w:szCs w:val="28"/>
                <w:lang w:eastAsia="en-US"/>
              </w:rPr>
              <w:t xml:space="preserve">   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Отсутствуют.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jc w:val="both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both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both"/>
              <w:rPr>
                <w:b/>
                <w:bCs/>
                <w:highlight w:val="none"/>
                <w:u w:val="single"/>
              </w:rPr>
            </w:pPr>
            <w:r>
              <w:rPr>
                <w:b/>
                <w:bCs/>
                <w:u w:val="single"/>
              </w:rPr>
              <w:t xml:space="preserve">Требуется</w:t>
            </w:r>
            <w:r>
              <w:rPr>
                <w:b/>
                <w:bCs/>
                <w:highlight w:val="none"/>
                <w:u w:val="single"/>
              </w:rPr>
            </w:r>
            <w:r>
              <w:rPr>
                <w:b/>
                <w:bCs/>
                <w:highlight w:val="none"/>
                <w:u w:val="single"/>
              </w:rPr>
            </w:r>
          </w:p>
          <w:p>
            <w:pPr>
              <w:ind w:left="11" w:firstLine="0"/>
              <w:jc w:val="both"/>
              <w:spacing w:before="60" w:after="60" w:line="240" w:lineRule="auto"/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  <w:lang w:eastAsia="en-US"/>
              </w:rPr>
              <w:t xml:space="preserve">Надлежащее исполнение обязательств по договору: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1153"/>
              <w:jc w:val="both"/>
              <w:rPr>
                <w:rFonts w:ascii="Times New Roman" w:hAnsi="Times New Roman" w:cs="Times New Roman"/>
                <w:bCs/>
                <w:i/>
                <w:highlight w:val="none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размер обеспечения: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5% (НДС не облагается) от суммы Договора в соответствии с официально размещенным  итоговым протоколом по результатам закупки, с учетом результатов преддоговорных переговоров (в случае таковых).</w:t>
            </w:r>
            <w:r>
              <w:rPr>
                <w:rFonts w:ascii="Times New Roman" w:hAnsi="Times New Roman" w:cs="Times New Roman"/>
                <w:bCs/>
                <w:i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highlight w:val="none"/>
              </w:rPr>
            </w:r>
          </w:p>
          <w:p>
            <w:pPr>
              <w:pStyle w:val="1153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Срок внесения обеспечения исполнения обяза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тельств по Договору – в течение 10 (десяти) календарных дней после официальной публикации протокола по выбору победителя с учетом результатов преддоговорных переговоров (в случае таковых) в Единой информационной системе в сфере закупок (www.zakupki.gov.ru)</w:t>
            </w:r>
            <w:r>
              <w:rPr>
                <w:rFonts w:ascii="Times New Roman" w:hAnsi="Times New Roman" w:cs="Times New Roman"/>
                <w:bCs/>
                <w:i/>
              </w:rPr>
            </w:r>
            <w:r>
              <w:rPr>
                <w:rFonts w:ascii="Times New Roman" w:hAnsi="Times New Roman" w:cs="Times New Roman"/>
                <w:bCs/>
                <w:i/>
              </w:rPr>
            </w:r>
          </w:p>
          <w:p>
            <w:pPr>
              <w:ind w:left="11" w:firstLine="0"/>
              <w:jc w:val="both"/>
              <w:spacing w:before="60" w:after="60" w:line="240" w:lineRule="auto"/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  <w:lang w:eastAsia="en-US"/>
              </w:rPr>
              <w:t xml:space="preserve">- валюта обеспечения: рубль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ind w:left="11" w:firstLine="0"/>
              <w:jc w:val="both"/>
              <w:spacing w:before="60" w:after="60" w:line="240" w:lineRule="auto"/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  <w:lang w:eastAsia="en-US"/>
              </w:rPr>
              <w:t xml:space="preserve">Иные требования к обеспечению исполнения Договора: приведены в Проекте договора (Приложение №2 к Документации о закупке).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</w:tbl>
    <w:p>
      <w:pPr>
        <w:pStyle w:val="1101"/>
      </w:pPr>
      <w:r/>
      <w:bookmarkStart w:id="372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372"/>
      <w:r/>
      <w:r/>
    </w:p>
    <w:p>
      <w:pPr>
        <w:pStyle w:val="1102"/>
      </w:pPr>
      <w:r/>
      <w:bookmarkStart w:id="373" w:name="_Toc7"/>
      <w:r>
        <w:t xml:space="preserve">Общие сведения о закупке</w:t>
      </w:r>
      <w:bookmarkEnd w:id="373"/>
      <w:r/>
      <w:r/>
    </w:p>
    <w:p>
      <w:pPr>
        <w:pStyle w:val="1103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03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03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Приложении № 2</w:t>
        </w:r>
      </w:hyperlink>
      <w:r>
        <w:t xml:space="preserve">.</w:t>
      </w:r>
      <w:r/>
    </w:p>
    <w:p>
      <w:pPr>
        <w:pStyle w:val="1103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31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5</w:t>
        </w:r>
      </w:hyperlink>
      <w:r>
        <w:t xml:space="preserve">.</w:t>
      </w:r>
      <w:r/>
    </w:p>
    <w:p>
      <w:pPr>
        <w:pStyle w:val="1102"/>
      </w:pPr>
      <w:r/>
      <w:bookmarkStart w:id="374" w:name="_Toc8"/>
      <w:r>
        <w:t xml:space="preserve">Правовой статус документов</w:t>
      </w:r>
      <w:bookmarkEnd w:id="374"/>
      <w:r/>
      <w:r/>
    </w:p>
    <w:p>
      <w:pPr>
        <w:pStyle w:val="1103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03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03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0"/>
      <w:r>
        <w:t xml:space="preserve">.</w:t>
      </w:r>
      <w:r/>
    </w:p>
    <w:p>
      <w:pPr>
        <w:pStyle w:val="1103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03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03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03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03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02"/>
      </w:pPr>
      <w:r/>
      <w:bookmarkStart w:id="375" w:name="_Toc9"/>
      <w:r/>
      <w:bookmarkStart w:id="41" w:name="_Ref125363536"/>
      <w:r>
        <w:t xml:space="preserve">Обжалование</w:t>
      </w:r>
      <w:bookmarkEnd w:id="41"/>
      <w:r/>
      <w:bookmarkEnd w:id="375"/>
      <w:r/>
      <w:r/>
    </w:p>
    <w:p>
      <w:pPr>
        <w:pStyle w:val="1103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03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03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04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04"/>
      </w:pPr>
      <w:r>
        <w:t xml:space="preserve">признать заявление Участника необоснованным.</w:t>
      </w:r>
      <w:r/>
    </w:p>
    <w:p>
      <w:pPr>
        <w:pStyle w:val="1103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03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04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04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г.</w:t>
      </w:r>
      <w:r>
        <w:t xml:space="preserve"> </w:t>
      </w:r>
      <w:r>
        <w:t xml:space="preserve">Москвы.</w:t>
      </w:r>
      <w:r/>
    </w:p>
    <w:p>
      <w:pPr>
        <w:pStyle w:val="1107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02"/>
      </w:pPr>
      <w:r/>
      <w:bookmarkStart w:id="376" w:name="_Toc10"/>
      <w:r>
        <w:t xml:space="preserve">Особые положения при проведении закупки с использованием ЭП</w:t>
      </w:r>
      <w:bookmarkEnd w:id="376"/>
      <w:r/>
      <w:r/>
    </w:p>
    <w:p>
      <w:pPr>
        <w:pStyle w:val="1103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03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03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03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03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02"/>
      </w:pPr>
      <w:r/>
      <w:bookmarkStart w:id="377" w:name="_Toc11"/>
      <w:r>
        <w:t xml:space="preserve">Прочие положения</w:t>
      </w:r>
      <w:bookmarkEnd w:id="377"/>
      <w:r/>
      <w:r/>
    </w:p>
    <w:p>
      <w:pPr>
        <w:pStyle w:val="1103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03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03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01"/>
      </w:pPr>
      <w:r/>
      <w:bookmarkStart w:id="378" w:name="_Toc12"/>
      <w:r/>
      <w:bookmarkStart w:id="45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5"/>
      <w:r/>
      <w:bookmarkEnd w:id="378"/>
      <w:r/>
      <w:r/>
    </w:p>
    <w:p>
      <w:pPr>
        <w:pStyle w:val="1102"/>
      </w:pPr>
      <w:r/>
      <w:bookmarkStart w:id="379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79"/>
      <w:r/>
      <w:r/>
    </w:p>
    <w:p>
      <w:pPr>
        <w:pStyle w:val="1103"/>
      </w:pPr>
      <w:r/>
      <w:bookmarkStart w:id="49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числе индивидуальный предприниматель), </w:t>
      </w:r>
      <w:r>
        <w:t xml:space="preserve">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Участником, в том числе в</w:t>
      </w:r>
      <w:r>
        <w:t xml:space="preserve"> </w:t>
      </w:r>
      <w:r>
        <w:t xml:space="preserve">составе группы лиц</w:t>
      </w:r>
      <w:r>
        <w:t xml:space="preserve">.</w:t>
      </w:r>
      <w:bookmarkEnd w:id="49"/>
      <w:r/>
      <w:r/>
    </w:p>
    <w:p>
      <w:pPr>
        <w:pStyle w:val="1103"/>
      </w:pPr>
      <w:r>
        <w:t xml:space="preserve">Однако, чтобы претендовать на победу в закупке Участник </w:t>
      </w:r>
      <w:r>
        <w:t xml:space="preserve">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03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Приложении № 3</w:t>
        </w:r>
      </w:hyperlink>
      <w:r>
        <w:t xml:space="preserve">:</w:t>
      </w:r>
      <w:r/>
    </w:p>
    <w:p>
      <w:pPr>
        <w:pStyle w:val="1104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04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:</w:t>
      </w:r>
      <w:r/>
    </w:p>
    <w:p>
      <w:pPr>
        <w:pStyle w:val="1104"/>
      </w:pPr>
      <w:r>
        <w:t xml:space="preserve">к Генеральным подрядчикам</w:t>
      </w:r>
      <w:r>
        <w:t xml:space="preserve">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Требованиях к Участникам (Приложение № 3)</w:t>
        </w:r>
      </w:hyperlink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02"/>
      </w:pPr>
      <w:r/>
      <w:bookmarkStart w:id="381" w:name="_Toc15"/>
      <w:r/>
      <w:bookmarkStart w:id="63" w:name="_Ref125361702"/>
      <w:r>
        <w:t xml:space="preserve">Генеральные подрядчики</w:t>
      </w:r>
      <w:bookmarkEnd w:id="63"/>
      <w:r/>
      <w:bookmarkEnd w:id="381"/>
      <w:r/>
      <w:r/>
    </w:p>
    <w:p>
      <w:pPr>
        <w:pStyle w:val="1103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03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03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04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04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  <w:keepNext/>
      </w:pPr>
      <w:r/>
      <w:bookmarkStart w:id="65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04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07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65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</w:pPr>
      <w:r/>
      <w:bookmarkStart w:id="66" w:name="_Ref125361799"/>
      <w:r>
        <w:t xml:space="preserve">Любое юридическое или физическое лицо (в том числе </w:t>
      </w:r>
      <w: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 без рассмотрения по существу.</w:t>
      </w:r>
      <w:bookmarkEnd w:id="66"/>
      <w:r/>
      <w:r/>
    </w:p>
    <w:p>
      <w:pPr>
        <w:pStyle w:val="1103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03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382" w:name="_Toc16"/>
      <w:r/>
      <w:bookmarkStart w:id="67" w:name="_Ref125361211"/>
      <w:r/>
      <w:bookmarkStart w:id="68" w:name="_Ref125367098"/>
      <w:r/>
      <w:bookmarkStart w:id="69" w:name="_Ref125367107"/>
      <w:r/>
      <w:bookmarkStart w:id="70" w:name="_Ref125367974"/>
      <w:r>
        <w:t xml:space="preserve">Порядок проведения закупки</w:t>
      </w:r>
      <w:bookmarkEnd w:id="67"/>
      <w:r/>
      <w:bookmarkEnd w:id="68"/>
      <w:r/>
      <w:bookmarkEnd w:id="69"/>
      <w:r/>
      <w:bookmarkEnd w:id="70"/>
      <w:r/>
      <w:bookmarkEnd w:id="382"/>
      <w:r/>
      <w:r/>
    </w:p>
    <w:p>
      <w:pPr>
        <w:pStyle w:val="1102"/>
      </w:pPr>
      <w:r/>
      <w:bookmarkStart w:id="383" w:name="_Toc17"/>
      <w:r/>
      <w:bookmarkStart w:id="72" w:name="_Ref126141932"/>
      <w:r>
        <w:t xml:space="preserve">Общий порядок проведения закупки</w:t>
      </w:r>
      <w:bookmarkEnd w:id="72"/>
      <w:r/>
      <w:bookmarkEnd w:id="383"/>
      <w:r/>
      <w:r/>
    </w:p>
    <w:p>
      <w:pPr>
        <w:pStyle w:val="1103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28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358"/>
        </w:trPr>
        <w:tc>
          <w:tcPr>
            <w:tcBorders>
              <w:top w:val="single" w:color="auto" w:sz="4" w:space="0"/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bottom w:val="single" w:color="7F7F7F" w:themeColor="text1" w:themeTint="80" w:sz="4" w:space="0"/>
            </w:tcBorders>
            <w:tcW w:w="9129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</w:rPr>
              <w:t xml:space="preserve">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стадии заключения договора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07"/>
      </w:pPr>
      <w:r/>
      <w:bookmarkStart w:id="74" w:name="_Ref125362061"/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2"/>
      </w:pPr>
      <w:r/>
      <w:bookmarkStart w:id="384" w:name="_Toc18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4"/>
      <w:r/>
      <w:r/>
    </w:p>
    <w:p>
      <w:pPr>
        <w:pStyle w:val="1103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03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03"/>
      </w:pPr>
      <w:r/>
      <w:bookmarkStart w:id="77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77"/>
      <w:r/>
      <w:r/>
    </w:p>
    <w:p>
      <w:pPr>
        <w:pStyle w:val="1103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02"/>
      </w:pPr>
      <w:r/>
      <w:bookmarkStart w:id="385" w:name="_Toc19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85"/>
      <w:r/>
      <w:r/>
    </w:p>
    <w:p>
      <w:pPr>
        <w:pStyle w:val="1103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03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03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6</w:t>
        </w:r>
        <w:r>
          <w:rPr>
            <w:rStyle w:val="1131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.</w:t>
      </w:r>
      <w:r/>
    </w:p>
    <w:p>
      <w:pPr>
        <w:pStyle w:val="1103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82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03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03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03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03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03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03"/>
      </w:pPr>
      <w:r/>
      <w:bookmarkStart w:id="84" w:name="_Ref125361260"/>
      <w:r/>
      <w:bookmarkStart w:id="85" w:name="_Ref125362071"/>
      <w:r/>
      <w:bookmarkStart w:id="86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03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03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03"/>
      </w:pPr>
      <w:r/>
      <w:bookmarkStart w:id="87" w:name="_Ref125370700"/>
      <w:r/>
      <w:bookmarkStart w:id="88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03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 (Приложение № 2)</w:t>
        </w:r>
      </w:hyperlink>
      <w:r>
        <w:t xml:space="preserve"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03"/>
      </w:pPr>
      <w:r/>
      <w:bookmarkStart w:id="89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.</w:t>
      </w:r>
      <w:bookmarkEnd w:id="89"/>
      <w:r/>
      <w:r/>
    </w:p>
    <w:p>
      <w:pPr>
        <w:pStyle w:val="1103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03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3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.</w:t>
      </w:r>
      <w:bookmarkEnd w:id="90"/>
      <w:r/>
      <w:r/>
    </w:p>
    <w:p>
      <w:pPr>
        <w:pStyle w:val="1103"/>
      </w:pPr>
      <w:r/>
      <w:bookmarkStart w:id="91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4.3.19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103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04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04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92"/>
      <w:r/>
      <w:bookmarkEnd w:id="93"/>
      <w:r/>
      <w:r/>
    </w:p>
    <w:p>
      <w:pPr>
        <w:pStyle w:val="1103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04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04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03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04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04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04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04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04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03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02"/>
      </w:pPr>
      <w:r/>
      <w:bookmarkStart w:id="386" w:name="_Toc20"/>
      <w:r/>
      <w:bookmarkStart w:id="94" w:name="_Ref130394205"/>
      <w:r/>
      <w:bookmarkStart w:id="95" w:name="_Ref130394785"/>
      <w:r/>
      <w:bookmarkStart w:id="96" w:name="_Ref130394802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86"/>
      <w:r/>
      <w:r/>
    </w:p>
    <w:p>
      <w:pPr>
        <w:pStyle w:val="1103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03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03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03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03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03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роекта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(Приложения № 2)</w:t>
        </w:r>
      </w:hyperlink>
      <w:r>
        <w:rPr>
          <w:rStyle w:val="1131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03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02"/>
      </w:pPr>
      <w:r/>
      <w:bookmarkStart w:id="387" w:name="_Toc21"/>
      <w:r/>
      <w:bookmarkStart w:id="98" w:name="_Ref125362076"/>
      <w:r/>
      <w:bookmarkStart w:id="99" w:name="_Ref125363891"/>
      <w:r/>
      <w:bookmarkStart w:id="100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98"/>
      <w:r/>
      <w:bookmarkEnd w:id="99"/>
      <w:r/>
      <w:bookmarkEnd w:id="100"/>
      <w:r/>
      <w:bookmarkEnd w:id="387"/>
      <w:r/>
      <w:r/>
    </w:p>
    <w:p>
      <w:pPr>
        <w:pStyle w:val="1103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03"/>
        <w:keepNext/>
      </w:pPr>
      <w:r/>
      <w:bookmarkStart w:id="102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03" w:name="_Hlk149650101"/>
      <w:r>
        <w:t xml:space="preserve">и если необходимо времени</w:t>
      </w:r>
      <w:bookmarkEnd w:id="103"/>
      <w:r>
        <w:t xml:space="preserve">)</w:t>
      </w:r>
      <w:r>
        <w:t xml:space="preserve">:</w:t>
      </w:r>
      <w:r/>
    </w:p>
    <w:p>
      <w:pPr>
        <w:pStyle w:val="1104"/>
      </w:pPr>
      <w:r>
        <w:t xml:space="preserve">рассмотрения первых частей заявок;</w:t>
      </w:r>
      <w:r/>
    </w:p>
    <w:p>
      <w:pPr>
        <w:pStyle w:val="1104"/>
      </w:pPr>
      <w:r>
        <w:t xml:space="preserve">проведения аукциона;</w:t>
      </w:r>
      <w:r/>
    </w:p>
    <w:p>
      <w:pPr>
        <w:pStyle w:val="1104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04"/>
      </w:pPr>
      <w:r>
        <w:t xml:space="preserve">подведения итогов закупки;</w:t>
      </w:r>
      <w:r/>
    </w:p>
    <w:p>
      <w:pPr>
        <w:pStyle w:val="1107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03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03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</w:t>
      </w:r>
      <w:r>
        <w:t xml:space="preserve">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04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04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03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02"/>
      </w:pPr>
      <w:r/>
      <w:bookmarkStart w:id="388" w:name="_Toc22"/>
      <w:r/>
      <w:bookmarkStart w:id="104" w:name="_Ref125362119"/>
      <w:r>
        <w:t xml:space="preserve">Подача заявок и их прием</w:t>
      </w:r>
      <w:bookmarkEnd w:id="104"/>
      <w:r/>
      <w:bookmarkEnd w:id="388"/>
      <w:r/>
      <w:r/>
    </w:p>
    <w:p>
      <w:pPr>
        <w:pStyle w:val="1103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03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03"/>
      </w:pPr>
      <w: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03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03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03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02"/>
      </w:pPr>
      <w:r/>
      <w:bookmarkStart w:id="389" w:name="_Toc23"/>
      <w:r/>
      <w:bookmarkStart w:id="106" w:name="_Ref125362130"/>
      <w:r/>
      <w:bookmarkStart w:id="107" w:name="_Ref125362192"/>
      <w:r/>
      <w:bookmarkStart w:id="108" w:name="_Ref125363819"/>
      <w:r/>
      <w:bookmarkStart w:id="109" w:name="_Ref125365136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389"/>
      <w:r/>
      <w:r/>
    </w:p>
    <w:p>
      <w:pPr>
        <w:pStyle w:val="1103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</w:t>
      </w:r>
      <w:r>
        <w:t xml:space="preserve">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03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0" w:name="_Toc24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0"/>
      <w:r/>
      <w:r/>
    </w:p>
    <w:p>
      <w:pPr>
        <w:pStyle w:val="1103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13"/>
      <w:r/>
      <w:r/>
    </w:p>
    <w:p>
      <w:pPr>
        <w:pStyle w:val="1103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14"/>
      <w:r/>
      <w:r/>
    </w:p>
    <w:p>
      <w:pPr>
        <w:pStyle w:val="1102"/>
      </w:pPr>
      <w:r/>
      <w:bookmarkStart w:id="391" w:name="_Toc25"/>
      <w:r/>
      <w:bookmarkStart w:id="115" w:name="_Ref125362364"/>
      <w:r/>
      <w:bookmarkStart w:id="116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15"/>
      <w:r/>
      <w:bookmarkEnd w:id="116"/>
      <w:r/>
      <w:bookmarkEnd w:id="391"/>
      <w:r/>
      <w:r/>
    </w:p>
    <w:p>
      <w:pPr>
        <w:pStyle w:val="1103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</w:t>
        </w:r>
        <w:r>
          <w:rPr>
            <w:rStyle w:val="1131"/>
          </w:rPr>
          <w:t xml:space="preserve">тборочным критериям</w:t>
        </w:r>
        <w:r>
          <w:rPr>
            <w:rStyle w:val="1131"/>
          </w:rPr>
          <w:t xml:space="preserve"> рассмотрения заявок (Приложение № </w:t>
        </w:r>
        <w:r>
          <w:rPr>
            <w:rStyle w:val="1131"/>
          </w:rPr>
          <w:t xml:space="preserve">7</w:t>
        </w:r>
        <w:r>
          <w:rPr>
            <w:rStyle w:val="1131"/>
          </w:rPr>
          <w:t xml:space="preserve">)</w:t>
        </w:r>
      </w:hyperlink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03"/>
        <w:keepNext/>
      </w:pPr>
      <w:r/>
      <w:bookmarkStart w:id="118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04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15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</w:t>
      </w:r>
      <w:r>
        <w:t xml:space="preserve">;</w:t>
      </w:r>
      <w:r/>
    </w:p>
    <w:p>
      <w:pPr>
        <w:pStyle w:val="1104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04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03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15"/>
        </w:rPr>
        <w:footnoteReference w:id="5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04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2" w:name="_Toc26"/>
      <w:r/>
      <w:bookmarkStart w:id="119" w:name="_Ref149649965"/>
      <w:r/>
      <w:bookmarkStart w:id="120" w:name="_Ref149650136"/>
      <w:r>
        <w:t xml:space="preserve">Проведение аукциона</w:t>
      </w:r>
      <w:bookmarkEnd w:id="119"/>
      <w:r/>
      <w:bookmarkEnd w:id="120"/>
      <w:r/>
      <w:bookmarkEnd w:id="392"/>
      <w:r/>
      <w:r/>
    </w:p>
    <w:p>
      <w:pPr>
        <w:pStyle w:val="1103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03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03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03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03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03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03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03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03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03"/>
      </w:pPr>
      <w:r/>
      <w:bookmarkStart w:id="123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23"/>
      <w:r/>
      <w:r/>
    </w:p>
    <w:p>
      <w:pPr>
        <w:pStyle w:val="1103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3" w:name="_Toc27"/>
      <w:r/>
      <w:bookmarkStart w:id="124" w:name="_Ref132801184"/>
      <w:r>
        <w:t xml:space="preserve">Открытие доступа ко вторым частям заявок</w:t>
      </w:r>
      <w:bookmarkEnd w:id="124"/>
      <w:r/>
      <w:bookmarkEnd w:id="393"/>
      <w:r/>
      <w:r/>
    </w:p>
    <w:p>
      <w:pPr>
        <w:pStyle w:val="1103"/>
      </w:pPr>
      <w:r/>
      <w:bookmarkStart w:id="126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26"/>
      <w:r/>
      <w:r/>
    </w:p>
    <w:p>
      <w:pPr>
        <w:pStyle w:val="1103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02"/>
      </w:pPr>
      <w:r/>
      <w:bookmarkStart w:id="394" w:name="_Toc28"/>
      <w:r/>
      <w:bookmarkStart w:id="127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27"/>
      <w:r/>
      <w:bookmarkEnd w:id="394"/>
      <w:r/>
      <w:r/>
    </w:p>
    <w:p>
      <w:pPr>
        <w:pStyle w:val="1103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03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29"/>
      <w:r/>
      <w:r/>
    </w:p>
    <w:p>
      <w:pPr>
        <w:pStyle w:val="1104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документа;</w:t>
      </w:r>
      <w:r/>
    </w:p>
    <w:p>
      <w:pPr>
        <w:pStyle w:val="1105"/>
      </w:pPr>
      <w:r>
        <w:t xml:space="preserve">противоречий между документами заявки и сведениями, указанными Участником в структурированных формах на ЭП</w:t>
      </w:r>
      <w:r>
        <w:t xml:space="preserve">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04"/>
      </w:pPr>
      <w:r>
        <w:t xml:space="preserve">несоответствие Участников требованиям Документации о закупке;</w:t>
      </w:r>
      <w:r/>
    </w:p>
    <w:p>
      <w:pPr>
        <w:pStyle w:val="1104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04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15"/>
        </w:rPr>
        <w:footnoteReference w:id="6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04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5" w:name="_Toc29"/>
      <w:r/>
      <w:bookmarkStart w:id="130" w:name="_Ref149656136"/>
      <w:r>
        <w:t xml:space="preserve">Открытие доступа к ценовым предложениям</w:t>
      </w:r>
      <w:bookmarkEnd w:id="130"/>
      <w:r/>
      <w:bookmarkEnd w:id="395"/>
      <w:r/>
      <w:r/>
    </w:p>
    <w:p>
      <w:pPr>
        <w:pStyle w:val="1103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02"/>
      </w:pPr>
      <w:r/>
      <w:bookmarkStart w:id="396" w:name="_Toc30"/>
      <w:r/>
      <w:bookmarkStart w:id="132" w:name="_Ref149656148"/>
      <w:r>
        <w:t xml:space="preserve">Рассмотрение ценовых предложений (отборочная стадия)</w:t>
      </w:r>
      <w:bookmarkEnd w:id="132"/>
      <w:r/>
      <w:bookmarkEnd w:id="396"/>
      <w:r/>
      <w:r/>
    </w:p>
    <w:p>
      <w:pPr>
        <w:pStyle w:val="1103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03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04"/>
      </w:pPr>
      <w:r>
        <w:t xml:space="preserve">в результате суммирования единичных расценок;</w:t>
      </w:r>
      <w:r/>
    </w:p>
    <w:p>
      <w:pPr>
        <w:pStyle w:val="1104"/>
      </w:pPr>
      <w:r>
        <w:t xml:space="preserve">в итогах умножения единичных расценок на объем продукции;</w:t>
      </w:r>
      <w:r/>
    </w:p>
    <w:p>
      <w:pPr>
        <w:pStyle w:val="1104"/>
      </w:pPr>
      <w:r>
        <w:t xml:space="preserve">в вычислении суммы НДС и итоговой стоимости заявки с учетом НДС;</w:t>
      </w:r>
      <w:r/>
    </w:p>
    <w:p>
      <w:pPr>
        <w:pStyle w:val="1104"/>
      </w:pPr>
      <w:r>
        <w:t xml:space="preserve">иных внутренних противоречий в составе заявки,</w:t>
      </w:r>
      <w:r/>
    </w:p>
    <w:p>
      <w:pPr>
        <w:pStyle w:val="1107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03"/>
      </w:pPr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следующему </w:t>
      </w:r>
      <w:r>
        <w:t xml:space="preserve">основани</w:t>
      </w:r>
      <w:r>
        <w:t xml:space="preserve">ю: </w:t>
      </w: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04"/>
      </w:pPr>
      <w:r>
        <w:t xml:space="preserve">недостоверных сведений</w:t>
      </w:r>
      <w:r>
        <w:rPr>
          <w:rStyle w:val="1115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0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документа;</w:t>
      </w:r>
      <w:r/>
    </w:p>
    <w:p>
      <w:pPr>
        <w:pStyle w:val="1104"/>
        <w:rPr>
          <w:color w:val="ff0000" w:themeColor="text1"/>
        </w:rPr>
      </w:pPr>
      <w:r>
        <w:rPr>
          <w:color w:val="000000" w:themeColor="text1"/>
        </w:rPr>
      </w:r>
      <w:bookmarkStart w:id="0" w:name="undefined"/>
      <w:r>
        <w:rPr>
          <w:color w:val="000000" w:themeColor="text1"/>
          <w:highlight w:val="none"/>
        </w:rPr>
        <w:t xml:space="preserve">несоответствие предлагаемой продукции требованиям требованиям по предоставлению информации и перечня документов, которые подтверждают страну происхождения товара – для случаев запр</w:t>
      </w:r>
      <w:r>
        <w:rPr>
          <w:color w:val="000000" w:themeColor="text1"/>
          <w:highlight w:val="none"/>
        </w:rPr>
        <w:t xml:space="preserve">ета или ограничения, установленных законодательством о национальном режиме.</w:t>
      </w:r>
      <w:r>
        <w:rPr>
          <w:color w:val="000000" w:themeColor="text1"/>
          <w:highlight w:val="none"/>
        </w:rPr>
      </w:r>
      <w:bookmarkEnd w:id="0"/>
      <w:r>
        <w:rPr>
          <w:color w:val="ff0000" w:themeColor="text1"/>
        </w:rPr>
      </w:r>
      <w:r>
        <w:rPr>
          <w:color w:val="ff0000" w:themeColor="text1"/>
        </w:rPr>
      </w:r>
    </w:p>
    <w:p>
      <w:pPr>
        <w:pStyle w:val="1103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02"/>
      </w:pPr>
      <w:r/>
      <w:bookmarkStart w:id="397" w:name="_Toc31"/>
      <w:r/>
      <w:bookmarkStart w:id="134" w:name="_Ref125362381"/>
      <w:r/>
      <w:bookmarkStart w:id="135" w:name="_Ref125362425"/>
      <w:r/>
      <w:bookmarkStart w:id="136" w:name="_Ref125362464"/>
      <w:r/>
      <w:bookmarkStart w:id="137" w:name="_Ref125362610"/>
      <w:r>
        <w:t xml:space="preserve">Дополнительные запросы разъяснений заявок</w:t>
      </w:r>
      <w:bookmarkEnd w:id="134"/>
      <w:r/>
      <w:bookmarkEnd w:id="135"/>
      <w:r/>
      <w:bookmarkEnd w:id="136"/>
      <w:r/>
      <w:bookmarkEnd w:id="137"/>
      <w:r/>
      <w:bookmarkEnd w:id="397"/>
      <w:r/>
      <w:r/>
    </w:p>
    <w:p>
      <w:pPr>
        <w:pStyle w:val="1103"/>
      </w:pPr>
      <w:r/>
      <w:bookmarkStart w:id="139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39"/>
      <w:r/>
      <w:r/>
    </w:p>
    <w:p>
      <w:pPr>
        <w:pStyle w:val="1104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05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05"/>
      </w:pPr>
      <w:r/>
      <w:bookmarkStart w:id="140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40"/>
      <w:r>
        <w:t xml:space="preserve">;</w:t>
      </w:r>
      <w:r/>
    </w:p>
    <w:p>
      <w:pPr>
        <w:pStyle w:val="1105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04"/>
      </w:pPr>
      <w:r/>
      <w:bookmarkStart w:id="141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04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15"/>
        </w:rPr>
        <w:footnoteReference w:id="8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1"/>
      <w:r/>
      <w:r/>
    </w:p>
    <w:p>
      <w:pPr>
        <w:pStyle w:val="1103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03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03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03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</w:t>
      </w:r>
      <w:r>
        <w:t xml:space="preserve">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398" w:name="_Toc32"/>
      <w:r/>
      <w:bookmarkStart w:id="142" w:name="_Ref125362626"/>
      <w:r/>
      <w:bookmarkStart w:id="143" w:name="_Ref125365335"/>
      <w:r/>
      <w:bookmarkStart w:id="144" w:name="_Ref125365519"/>
      <w:r/>
      <w:bookmarkStart w:id="145" w:name="_Ref125366534"/>
      <w:r/>
      <w:bookmarkStart w:id="146" w:name="_Ref125369041"/>
      <w:r/>
      <w:bookmarkStart w:id="147" w:name="_Ref125369308"/>
      <w:r>
        <w:t xml:space="preserve">Оценка и сопоставление заявок</w:t>
      </w:r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/>
      <w:bookmarkEnd w:id="398"/>
      <w:r/>
      <w:r/>
    </w:p>
    <w:p>
      <w:pPr>
        <w:pStyle w:val="1103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31"/>
          </w:rPr>
          <w:t xml:space="preserve">Порядком и критериями оценки и сопоставления заявок (Приложение № </w:t>
        </w:r>
        <w:r>
          <w:rPr>
            <w:rStyle w:val="1131"/>
          </w:rPr>
          <w:t xml:space="preserve">8</w:t>
        </w:r>
        <w:r>
          <w:rPr>
            <w:rStyle w:val="1131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04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04"/>
      </w:pPr>
      <w:r>
        <w:t xml:space="preserve">в едином базисе без учета НДС.</w:t>
      </w:r>
      <w:r/>
    </w:p>
    <w:p>
      <w:pPr>
        <w:pStyle w:val="1103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15"/>
        </w:rPr>
        <w:footnoteReference w:id="9"/>
      </w:r>
      <w:r>
        <w:t xml:space="preserve">.</w:t>
      </w:r>
      <w:r/>
    </w:p>
    <w:p>
      <w:pPr>
        <w:pStyle w:val="1103"/>
      </w:pPr>
      <w:r/>
      <w:bookmarkStart w:id="154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02"/>
      </w:pPr>
      <w:r/>
      <w:bookmarkStart w:id="399" w:name="_Toc33"/>
      <w:r/>
      <w:bookmarkStart w:id="159" w:name="_Ref186183588"/>
      <w:r/>
      <w:bookmarkStart w:id="160" w:name="_Ref149648944"/>
      <w:r>
        <w:t xml:space="preserve">Применение </w:t>
      </w:r>
      <w:r>
        <w:t xml:space="preserve">законодательства о национальном режиме</w:t>
      </w:r>
      <w:bookmarkEnd w:id="159"/>
      <w:r/>
      <w:bookmarkEnd w:id="160"/>
      <w:r/>
      <w:bookmarkEnd w:id="399"/>
      <w:r/>
      <w:r/>
    </w:p>
    <w:p>
      <w:pPr>
        <w:pStyle w:val="1103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</w:t>
      </w:r>
      <w:r>
        <w:t xml:space="preserve">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рассмо</w:t>
      </w:r>
      <w:r>
        <w:t xml:space="preserve">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15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03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2"/>
      </w:pPr>
      <w:r/>
      <w:bookmarkStart w:id="400" w:name="_Toc34"/>
      <w:r/>
      <w:bookmarkStart w:id="165" w:name="_Ref125362658"/>
      <w:r/>
      <w:bookmarkStart w:id="166" w:name="_Ref125366091"/>
      <w:r/>
      <w:bookmarkStart w:id="167" w:name="_Ref125367242"/>
      <w:r>
        <w:t xml:space="preserve">Подведение итогов закупки (определение Победителя)</w:t>
      </w:r>
      <w:bookmarkEnd w:id="165"/>
      <w:r/>
      <w:bookmarkEnd w:id="166"/>
      <w:r/>
      <w:bookmarkEnd w:id="167"/>
      <w:r/>
      <w:bookmarkEnd w:id="400"/>
      <w:r/>
      <w:r/>
    </w:p>
    <w:p>
      <w:pPr>
        <w:pStyle w:val="1103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03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03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 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03"/>
        <w:keepNext/>
      </w:pPr>
      <w:r/>
      <w:bookmarkStart w:id="16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15"/>
        </w:rPr>
        <w:footnoteReference w:id="11"/>
      </w:r>
      <w:r>
        <w:t xml:space="preserve">:</w:t>
      </w:r>
      <w:bookmarkEnd w:id="169"/>
      <w:r/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04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04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04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07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03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03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03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02"/>
      </w:pPr>
      <w:r/>
      <w:bookmarkStart w:id="401" w:name="_Toc35"/>
      <w:r/>
      <w:bookmarkStart w:id="170" w:name="_Ref125364149"/>
      <w:r/>
      <w:bookmarkStart w:id="171" w:name="_Ref125364187"/>
      <w:r/>
      <w:bookmarkStart w:id="172" w:name="_Ref125365305"/>
      <w:r/>
      <w:bookmarkStart w:id="173" w:name="_Ref125365570"/>
      <w:r/>
      <w:bookmarkStart w:id="174" w:name="_Ref125366631"/>
      <w:r/>
      <w:bookmarkStart w:id="175" w:name="_Ref125366796"/>
      <w:r/>
      <w:bookmarkEnd w:id="154"/>
      <w:r>
        <w:t xml:space="preserve">Признание закупки несостоявшейся</w:t>
      </w:r>
      <w:bookmarkEnd w:id="170"/>
      <w:r/>
      <w:bookmarkEnd w:id="171"/>
      <w:r/>
      <w:bookmarkEnd w:id="172"/>
      <w:r/>
      <w:bookmarkEnd w:id="173"/>
      <w:r/>
      <w:bookmarkEnd w:id="174"/>
      <w:r/>
      <w:bookmarkEnd w:id="175"/>
      <w:r/>
      <w:bookmarkEnd w:id="401"/>
      <w:r/>
      <w:r/>
    </w:p>
    <w:p>
      <w:pPr>
        <w:pStyle w:val="1103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04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04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04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04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04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03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03"/>
        <w:keepNext/>
      </w:pPr>
      <w:r>
        <w:t xml:space="preserve">В случае признания закупки несостоявшейся Заказчик вправе</w:t>
      </w:r>
      <w:r>
        <w:t xml:space="preserve"> (с учетом условий, предусмотренных Положением о закупке)</w:t>
      </w:r>
      <w:r>
        <w:t xml:space="preserve">:</w:t>
      </w:r>
      <w:r/>
    </w:p>
    <w:p>
      <w:pPr>
        <w:pStyle w:val="1104"/>
      </w:pPr>
      <w:r>
        <w:t xml:space="preserve">принять решение о проведении повторной закупки (</w:t>
      </w:r>
      <w:r>
        <w:t xml:space="preserve">в том числе с</w:t>
      </w:r>
      <w:r>
        <w:t xml:space="preserve"> </w:t>
      </w:r>
      <w:r>
        <w:t xml:space="preserve">возможностью снятия признака закупки только среди субъектов МСП</w:t>
      </w:r>
      <w:r>
        <w:t xml:space="preserve">);</w:t>
      </w:r>
      <w:r/>
    </w:p>
    <w:p>
      <w:pPr>
        <w:pStyle w:val="1104"/>
      </w:pPr>
      <w:r>
        <w:t xml:space="preserve">заключить договор с </w:t>
      </w:r>
      <w:r>
        <w:t xml:space="preserve">Е</w:t>
      </w:r>
      <w:r>
        <w:t xml:space="preserve">динственным </w:t>
      </w:r>
      <w:r>
        <w:t xml:space="preserve">у</w:t>
      </w:r>
      <w:r>
        <w:t xml:space="preserve">частником несостоявшейся закупки (раздел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отказаться от</w:t>
      </w:r>
      <w:r>
        <w:t xml:space="preserve"> дополнительного</w:t>
      </w:r>
      <w:r>
        <w:t xml:space="preserve"> повторного проведения данной закупки</w:t>
      </w:r>
      <w:r>
        <w:t xml:space="preserve"> </w:t>
      </w:r>
      <w: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t xml:space="preserve">.</w:t>
      </w:r>
      <w:r/>
    </w:p>
    <w:p>
      <w:pPr>
        <w:pStyle w:val="1102"/>
      </w:pPr>
      <w:r/>
      <w:bookmarkStart w:id="402" w:name="_Toc36"/>
      <w:r/>
      <w:bookmarkStart w:id="177" w:name="_Ref126141962"/>
      <w:r/>
      <w:bookmarkStart w:id="178" w:name="_Ref132816134"/>
      <w:r/>
      <w:bookmarkStart w:id="179" w:name="_Ref132816141"/>
      <w:r>
        <w:t xml:space="preserve">Отказ от проведения закупки</w:t>
      </w:r>
      <w:bookmarkEnd w:id="177"/>
      <w:r>
        <w:t xml:space="preserve"> (отмена закупки)</w:t>
      </w:r>
      <w:bookmarkEnd w:id="178"/>
      <w:r/>
      <w:bookmarkEnd w:id="179"/>
      <w:r/>
      <w:bookmarkEnd w:id="402"/>
      <w:r/>
      <w:r/>
    </w:p>
    <w:p>
      <w:pPr>
        <w:pStyle w:val="1103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03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03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02"/>
      </w:pPr>
      <w:r/>
      <w:bookmarkStart w:id="403" w:name="_Toc37"/>
      <w:r/>
      <w:bookmarkStart w:id="181" w:name="_Ref130455226"/>
      <w:r/>
      <w:bookmarkStart w:id="182" w:name="_Ref130225422"/>
      <w:r/>
      <w:bookmarkStart w:id="183" w:name="_Ref125361212"/>
      <w:r/>
      <w:bookmarkStart w:id="184" w:name="_Ref125362671"/>
      <w:r/>
      <w:bookmarkStart w:id="185" w:name="_Ref125363439"/>
      <w:r/>
      <w:bookmarkStart w:id="186" w:name="_Ref125366769"/>
      <w:r/>
      <w:bookmarkStart w:id="187" w:name="_Ref125367083"/>
      <w:r/>
      <w:bookmarkStart w:id="188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81"/>
      <w:r/>
      <w:bookmarkEnd w:id="403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03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03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03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15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03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03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03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03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04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4.22.8(л)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4.22.14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04"/>
      </w:pPr>
      <w:r/>
      <w:bookmarkStart w:id="190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190"/>
      <w:r/>
      <w:r/>
    </w:p>
    <w:p>
      <w:pPr>
        <w:pStyle w:val="1104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</w:t>
      </w:r>
      <w:r>
        <w:t xml:space="preserve">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04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03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03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03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4.23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03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03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03"/>
        <w:keepNext/>
      </w:pPr>
      <w:r/>
      <w:bookmarkStart w:id="191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1"/>
      <w:r/>
      <w:r/>
    </w:p>
    <w:p>
      <w:pPr>
        <w:pStyle w:val="1104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</w:t>
        </w:r>
      </w:hyperlink>
      <w:r>
        <w:t xml:space="preserve">).</w:t>
      </w:r>
      <w:r/>
    </w:p>
    <w:p>
      <w:pPr>
        <w:pStyle w:val="1103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</w:t>
      </w:r>
      <w:r>
        <w:t xml:space="preserve">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04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04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04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04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04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03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02"/>
      </w:pPr>
      <w:r/>
      <w:bookmarkStart w:id="404" w:name="_Toc38"/>
      <w:r/>
      <w:bookmarkStart w:id="192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82"/>
      <w:r/>
      <w:bookmarkEnd w:id="192"/>
      <w:r/>
      <w:bookmarkEnd w:id="404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03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03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03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03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04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04"/>
      </w:pPr>
      <w:r>
        <w:t xml:space="preserve">Коммерческое предложение (форма 3), Техническое предложение (форма 4), Календарный график (форма 5)</w:t>
      </w:r>
      <w:r>
        <w:t xml:space="preserve">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11)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03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01"/>
      </w:pPr>
      <w:r/>
      <w:bookmarkStart w:id="405" w:name="_Toc39"/>
      <w:r/>
      <w:bookmarkStart w:id="198" w:name="_Ref126142429"/>
      <w:r/>
      <w:bookmarkStart w:id="199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198"/>
      <w:r/>
      <w:bookmarkEnd w:id="199"/>
      <w:r/>
      <w:bookmarkEnd w:id="405"/>
      <w:r/>
      <w:r/>
    </w:p>
    <w:p>
      <w:pPr>
        <w:pStyle w:val="1102"/>
      </w:pPr>
      <w:r/>
      <w:bookmarkStart w:id="406" w:name="_Toc40"/>
      <w:r/>
      <w:bookmarkStart w:id="201" w:name="_Ref125366947"/>
      <w:r/>
      <w:bookmarkStart w:id="202" w:name="_Ref125368755"/>
      <w:r>
        <w:t xml:space="preserve">Общие положения</w:t>
      </w:r>
      <w:bookmarkEnd w:id="406"/>
      <w:r/>
      <w:r/>
    </w:p>
    <w:p>
      <w:pPr>
        <w:pStyle w:val="1103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02"/>
      </w:pPr>
      <w:r/>
      <w:bookmarkStart w:id="407" w:name="_Toc41"/>
      <w:r/>
      <w:bookmarkStart w:id="204" w:name="_Ref138341423"/>
      <w:r>
        <w:t xml:space="preserve">Заключение Договора</w:t>
      </w:r>
      <w:bookmarkEnd w:id="201"/>
      <w:r/>
      <w:bookmarkEnd w:id="202"/>
      <w:r/>
      <w:bookmarkEnd w:id="204"/>
      <w:r/>
      <w:bookmarkEnd w:id="407"/>
      <w:r/>
      <w:r/>
    </w:p>
    <w:p>
      <w:pPr>
        <w:pStyle w:val="1103"/>
      </w:pPr>
      <w:r/>
      <w:bookmarkStart w:id="206" w:name="_Ref125362935"/>
      <w:r/>
      <w:bookmarkStart w:id="207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06"/>
      <w:r/>
      <w:bookmarkEnd w:id="207"/>
      <w:r/>
      <w:r/>
    </w:p>
    <w:p>
      <w:pPr>
        <w:pStyle w:val="1103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3"/>
      </w:pPr>
      <w:r/>
      <w:bookmarkStart w:id="208" w:name="_Ref125363464"/>
      <w:r>
        <w:t xml:space="preserve">В целях заключения Договора Участник, признанный Победителем, обязан в</w:t>
      </w:r>
      <w:r>
        <w:t xml:space="preserve"> </w:t>
      </w:r>
      <w:r>
        <w:t xml:space="preserve">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t xml:space="preserve"> </w:t>
      </w:r>
      <w:r>
        <w:t xml:space="preserve">адресу,</w:t>
      </w:r>
      <w:r>
        <w:t xml:space="preserve">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</w:t>
      </w:r>
      <w:r>
        <w:t xml:space="preserve">есто подачи документов в</w:t>
      </w:r>
      <w:r>
        <w:t xml:space="preserve"> </w:t>
      </w:r>
      <w:r>
        <w:t xml:space="preserve">отношении цепочки собственников, включая конечных бенефициаров</w:t>
      </w:r>
      <w:r>
        <w:t xml:space="preserve">, </w:t>
      </w:r>
      <w:r>
        <w:t xml:space="preserve">Справку о цепочке собственников, включая бенефициаров (в том числе конечных), по форме в соответствии с</w:t>
      </w:r>
      <w:r>
        <w:t xml:space="preserve">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,</w:t>
      </w:r>
      <w:r>
        <w:t xml:space="preserve"> с приложением подтверждающих документов согласно перечню, установленному в</w:t>
      </w:r>
      <w:r>
        <w:t xml:space="preserve"> </w:t>
      </w:r>
      <w:r>
        <w:t xml:space="preserve">Приложении</w:t>
      </w:r>
      <w:r>
        <w:t xml:space="preserve"> </w:t>
      </w:r>
      <w:r>
        <w:t xml:space="preserve">1 к указанной справке. Данные документы должны быть предоставлены в</w:t>
      </w:r>
      <w:r>
        <w:t xml:space="preserve"> </w:t>
      </w:r>
      <w:r>
        <w:t xml:space="preserve">бумажном виде и на электронном носителе в отдельном запечатанном конверте с</w:t>
      </w:r>
      <w:r>
        <w:t xml:space="preserve"> </w:t>
      </w:r>
      <w:r>
        <w:t xml:space="preserve">надписью «Документы Победителя о цепочке собственников».</w:t>
      </w:r>
      <w:bookmarkEnd w:id="208"/>
      <w:r/>
      <w:r/>
    </w:p>
    <w:p>
      <w:pPr>
        <w:pStyle w:val="1103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r>
        <w:rPr>
          <w:lang w:val="en-US"/>
        </w:rPr>
        <w:t xml:space="preserve">pdf</w:t>
      </w:r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5</w:t>
        </w:r>
      </w:hyperlink>
      <w:r>
        <w:t xml:space="preserve">.</w:t>
      </w:r>
      <w:r/>
    </w:p>
    <w:p>
      <w:pPr>
        <w:pStyle w:val="1103"/>
        <w:keepNext/>
      </w:pPr>
      <w:r/>
      <w:bookmarkStart w:id="20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09"/>
      <w:r/>
      <w:r/>
    </w:p>
    <w:p>
      <w:pPr>
        <w:pStyle w:val="1104"/>
        <w:keepNext/>
      </w:pPr>
      <w:r>
        <w:t xml:space="preserve">для юридического лица:</w:t>
      </w:r>
      <w:r/>
    </w:p>
    <w:p>
      <w:pPr>
        <w:pStyle w:val="1105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05"/>
      </w:pPr>
      <w:r/>
      <w:bookmarkStart w:id="21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t xml:space="preserve">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10"/>
      <w:r/>
      <w:r/>
    </w:p>
    <w:p>
      <w:pPr>
        <w:pStyle w:val="1105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04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04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(паспорта);</w:t>
      </w:r>
      <w:r/>
    </w:p>
    <w:p>
      <w:pPr>
        <w:pStyle w:val="1103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03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03"/>
        <w:keepNext/>
      </w:pPr>
      <w:r/>
      <w:bookmarkStart w:id="212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2"/>
      <w:r/>
      <w:r/>
    </w:p>
    <w:p>
      <w:pPr>
        <w:pStyle w:val="1104"/>
      </w:pPr>
      <w:r>
        <w:t xml:space="preserve">итоговый протокол по результатам закупки;</w:t>
      </w:r>
      <w:r/>
    </w:p>
    <w:p>
      <w:pPr>
        <w:pStyle w:val="1104"/>
      </w:pPr>
      <w:r>
        <w:t xml:space="preserve">Извещение и Документация о закупке со всеми изменениями;</w:t>
      </w:r>
      <w:r/>
    </w:p>
    <w:p>
      <w:pPr>
        <w:pStyle w:val="1104"/>
      </w:pPr>
      <w:r>
        <w:t xml:space="preserve">заявка Победителя со всеми дополнениями и разъяснениями.</w:t>
      </w:r>
      <w:r/>
    </w:p>
    <w:p>
      <w:pPr>
        <w:pStyle w:val="1103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03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03"/>
      </w:pPr>
      <w:r/>
      <w:bookmarkStart w:id="213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</w:t>
      </w:r>
      <w:r>
        <w:t xml:space="preserve">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13"/>
      <w:r/>
      <w:r/>
    </w:p>
    <w:p>
      <w:pPr>
        <w:pStyle w:val="1103"/>
      </w:pPr>
      <w:r/>
      <w:bookmarkStart w:id="214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15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15"/>
      <w:r>
        <w:t xml:space="preserve">.</w:t>
      </w:r>
      <w:bookmarkEnd w:id="214"/>
      <w:r/>
      <w:r/>
    </w:p>
    <w:p>
      <w:pPr>
        <w:pStyle w:val="1103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02"/>
      </w:pPr>
      <w:r/>
      <w:bookmarkStart w:id="408" w:name="_Toc42"/>
      <w:r/>
      <w:bookmarkStart w:id="216" w:name="_Ref125367068"/>
      <w:r>
        <w:t xml:space="preserve">Уклонение Победителя от заключения Договора</w:t>
      </w:r>
      <w:bookmarkEnd w:id="216"/>
      <w:r/>
      <w:bookmarkEnd w:id="408"/>
      <w:r/>
      <w:r/>
    </w:p>
    <w:p>
      <w:pPr>
        <w:pStyle w:val="1103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04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5.2.8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04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;</w:t>
      </w:r>
      <w:r/>
    </w:p>
    <w:p>
      <w:pPr>
        <w:pStyle w:val="1104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Приложения 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 </w:t>
        </w:r>
        <w:r>
          <w:rPr>
            <w:rStyle w:val="1131"/>
          </w:rPr>
          <w:t xml:space="preserve">– </w:t>
        </w:r>
        <w:r>
          <w:rPr>
            <w:rStyle w:val="1131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04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04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07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признается уклонившимся от заключения Договора и утрачивает </w:t>
      </w:r>
      <w: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01"/>
      </w:pPr>
      <w:r/>
      <w:bookmarkStart w:id="409" w:name="_Toc43"/>
      <w:r/>
      <w:bookmarkStart w:id="218" w:name="_Ref125363016"/>
      <w:r/>
      <w:bookmarkStart w:id="219" w:name="_Ref125363023"/>
      <w:r/>
      <w:bookmarkStart w:id="220" w:name="_Ref125363034"/>
      <w:r/>
      <w:bookmarkStart w:id="221" w:name="_Ref125363600"/>
      <w:r/>
      <w:bookmarkStart w:id="222" w:name="_Ref125363752"/>
      <w:r/>
      <w:bookmarkStart w:id="223" w:name="_Ref125364088"/>
      <w:r/>
      <w:bookmarkStart w:id="224" w:name="_Ref125364201"/>
      <w:r/>
      <w:bookmarkStart w:id="225" w:name="_Ref125370732"/>
      <w:r/>
      <w:bookmarkStart w:id="226" w:name="_Ref125370741"/>
      <w:r/>
      <w:bookmarkStart w:id="227" w:name="_Ref125370746"/>
      <w:r/>
      <w:bookmarkStart w:id="228" w:name="_Ref125370750"/>
      <w:r/>
      <w:bookmarkStart w:id="229" w:name="_Ref125370843"/>
      <w:r/>
      <w:bookmarkStart w:id="230" w:name="Прил01_ТехТребования"/>
      <w:r>
        <w:t xml:space="preserve">Приложение № 1 – Технические требования</w:t>
      </w:r>
      <w:bookmarkEnd w:id="218"/>
      <w:r/>
      <w:bookmarkEnd w:id="219"/>
      <w:r/>
      <w:bookmarkEnd w:id="220"/>
      <w:r/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/>
      <w:bookmarkEnd w:id="227"/>
      <w:r/>
      <w:bookmarkEnd w:id="228"/>
      <w:r/>
      <w:bookmarkEnd w:id="229"/>
      <w:r/>
      <w:bookmarkEnd w:id="230"/>
      <w:r/>
      <w:bookmarkEnd w:id="409"/>
      <w:r/>
      <w:r/>
    </w:p>
    <w:p>
      <w:pPr>
        <w:pStyle w:val="1102"/>
      </w:pPr>
      <w:r/>
      <w:bookmarkStart w:id="410" w:name="_Toc44"/>
      <w:r>
        <w:t xml:space="preserve">Пояснения к Техническим требованиям</w:t>
      </w:r>
      <w:bookmarkEnd w:id="410"/>
      <w:r/>
      <w:r/>
    </w:p>
    <w:p>
      <w:pPr>
        <w:pStyle w:val="1103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01"/>
      </w:pPr>
      <w:r/>
      <w:bookmarkStart w:id="411" w:name="_Toc45"/>
      <w:r/>
      <w:bookmarkStart w:id="233" w:name="_Ref125361746"/>
      <w:r/>
      <w:bookmarkStart w:id="234" w:name="_Ref125363040"/>
      <w:r/>
      <w:bookmarkStart w:id="235" w:name="_Ref125363605"/>
      <w:r/>
      <w:bookmarkStart w:id="236" w:name="_Ref125363759"/>
      <w:r/>
      <w:bookmarkStart w:id="237" w:name="_Ref125364081"/>
      <w:r/>
      <w:bookmarkStart w:id="238" w:name="_Ref125364206"/>
      <w:r/>
      <w:bookmarkStart w:id="239" w:name="_Ref125370754"/>
      <w:r/>
      <w:bookmarkStart w:id="240" w:name="Прил02_ПроектДоговора"/>
      <w:r>
        <w:t xml:space="preserve">Приложение № 2 – Проект договора</w:t>
      </w:r>
      <w:bookmarkEnd w:id="233"/>
      <w:r/>
      <w:bookmarkEnd w:id="234"/>
      <w:r/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411"/>
      <w:r/>
      <w:r/>
    </w:p>
    <w:p>
      <w:pPr>
        <w:pStyle w:val="1102"/>
      </w:pPr>
      <w:r/>
      <w:bookmarkStart w:id="412" w:name="_Toc46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12"/>
      <w:r/>
      <w:r/>
    </w:p>
    <w:p>
      <w:pPr>
        <w:pStyle w:val="1103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03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03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5.2.11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03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07"/>
        <w:jc w:val="center"/>
      </w:pPr>
      <w:r/>
      <w:bookmarkStart w:id="243" w:name="_MON_1736255517"/>
      <w:r/>
      <w:bookmarkEnd w:id="243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8">
                          <a:extLst>
                            <a:ext uri="{96DAC541-7B7A-43D3-8B79-37D633B846F1}">
                              <asvg:svgBlip xmlns:asvg="http://schemas.microsoft.com/office/drawing/2016/SVG/main" r:embed="rId1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3" w:name="_Toc47"/>
      <w:r/>
      <w:bookmarkStart w:id="244" w:name="_Ref125361494"/>
      <w:r/>
      <w:bookmarkStart w:id="245" w:name="_Ref125361908"/>
      <w:r/>
      <w:bookmarkStart w:id="246" w:name="_Ref125365476"/>
      <w:r/>
      <w:bookmarkStart w:id="247" w:name="_Ref125370013"/>
      <w:r/>
      <w:bookmarkStart w:id="248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44"/>
      <w:r/>
      <w:bookmarkEnd w:id="245"/>
      <w:r/>
      <w:bookmarkEnd w:id="246"/>
      <w:r/>
      <w:bookmarkEnd w:id="247"/>
      <w:r/>
      <w:bookmarkEnd w:id="248"/>
      <w:r/>
      <w:bookmarkEnd w:id="413"/>
      <w:r/>
      <w:r/>
    </w:p>
    <w:p>
      <w:pPr>
        <w:pStyle w:val="1102"/>
      </w:pPr>
      <w:r/>
      <w:bookmarkStart w:id="414" w:name="_Toc48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14"/>
      <w:r/>
      <w:r/>
    </w:p>
    <w:p>
      <w:pPr>
        <w:pStyle w:val="1103"/>
      </w:pPr>
      <w:r/>
      <w:bookmarkStart w:id="251" w:name="_Hlk125628168"/>
      <w:r>
        <w:t xml:space="preserve">Чтобы претендовать на победу</w:t>
      </w:r>
      <w:r>
        <w:t xml:space="preserve"> в закупке и получение права заключить Договор с Заказчиком, Участник самостоятельно и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51"/>
      <w:r/>
      <w:r/>
    </w:p>
    <w:p>
      <w:pPr>
        <w:pStyle w:val="1102"/>
        <w:spacing w:after="120"/>
      </w:pPr>
      <w:r/>
      <w:bookmarkStart w:id="415" w:name="_Toc49"/>
      <w:r/>
      <w:bookmarkStart w:id="252" w:name="_Ref125361435"/>
      <w:r/>
      <w:bookmarkStart w:id="253" w:name="_Ref125361590"/>
      <w:r/>
      <w:bookmarkStart w:id="254" w:name="_Ref125361617"/>
      <w:r/>
      <w:bookmarkStart w:id="255" w:name="_Ref125361832"/>
      <w:r/>
      <w:bookmarkStart w:id="256" w:name="_Ref125361846"/>
      <w:r/>
      <w:bookmarkStart w:id="257" w:name="_Ref125361926"/>
      <w:r/>
      <w:bookmarkStart w:id="258" w:name="_Ref125366879"/>
      <w:r/>
      <w:bookmarkStart w:id="259" w:name="_Ref125368812"/>
      <w:r/>
      <w:bookmarkStart w:id="260" w:name="_Ref125368895"/>
      <w:r/>
      <w:bookmarkStart w:id="261" w:name="_Ref125369088"/>
      <w:r/>
      <w:bookmarkStart w:id="262" w:name="_Ref125370058"/>
      <w:r/>
      <w:bookmarkStart w:id="263" w:name="_Ref125370064"/>
      <w:r/>
      <w:bookmarkStart w:id="264" w:name="_Ref125370071"/>
      <w:r>
        <w:t xml:space="preserve">Обязательные требования</w:t>
      </w:r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415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6" w:name="_Ref125552433"/>
            <w:r/>
            <w:bookmarkEnd w:id="26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</w:t>
            </w:r>
            <w:r>
              <w:t xml:space="preserve"> наличи</w:t>
            </w:r>
            <w:r>
              <w:t xml:space="preserve">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отсутствии </w:t>
            </w:r>
            <w:r>
              <w:t xml:space="preserve">(</w:t>
            </w:r>
            <w:r>
              <w:t xml:space="preserve">с момента подачи им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–</w:t>
            </w:r>
            <w:r>
              <w:t xml:space="preserve"> </w:t>
            </w:r>
            <w:r>
              <w:t xml:space="preserve">п</w:t>
            </w:r>
            <w:r>
              <w:t xml:space="preserve">редоставление </w:t>
            </w:r>
            <w:r>
              <w:t xml:space="preserve">Заявк</w:t>
            </w:r>
            <w:r>
              <w:t xml:space="preserve">и</w:t>
            </w:r>
            <w:r>
              <w:t xml:space="preserve"> на аккредитацию</w:t>
            </w:r>
            <w:r>
              <w:t xml:space="preserve"> не</w:t>
            </w:r>
            <w:r>
              <w:t xml:space="preserve"> </w:t>
            </w:r>
            <w:r>
              <w:t xml:space="preserve">требуется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1</w:t>
              </w:r>
              <w:r>
                <w:rPr>
                  <w:rStyle w:val="1131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</w:t>
            </w:r>
            <w:r>
              <w:t xml:space="preserve">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7" w:name="_Ref132893662"/>
            <w:r/>
            <w:bookmarkEnd w:id="26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8" w:name="_Ref139029906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15"/>
              </w:rPr>
              <w:footnoteReference w:id="13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15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9" w:name="_Ref18618420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70" w:name="_Ref186184207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02"/>
        <w:spacing w:after="120"/>
      </w:pPr>
      <w:r/>
      <w:bookmarkStart w:id="416" w:name="_Toc50"/>
      <w:r/>
      <w:bookmarkStart w:id="271" w:name="_Ref125361442"/>
      <w:r/>
      <w:bookmarkStart w:id="272" w:name="_Ref125361633"/>
      <w:r/>
      <w:bookmarkStart w:id="273" w:name="_Ref125361671"/>
      <w:r/>
      <w:bookmarkStart w:id="274" w:name="_Ref125361869"/>
      <w:r/>
      <w:bookmarkStart w:id="275" w:name="_Ref125361937"/>
      <w:r/>
      <w:bookmarkStart w:id="276" w:name="_Ref125365459"/>
      <w:r/>
      <w:bookmarkStart w:id="277" w:name="_Ref125367521"/>
      <w:r/>
      <w:bookmarkStart w:id="278" w:name="_Ref125367539"/>
      <w:r/>
      <w:bookmarkStart w:id="279" w:name="_Ref125368818"/>
      <w:r/>
      <w:bookmarkStart w:id="280" w:name="_Ref125368901"/>
      <w:r/>
      <w:bookmarkStart w:id="281" w:name="_Ref125368916"/>
      <w:r/>
      <w:bookmarkStart w:id="282" w:name="_Ref125369099"/>
      <w:r/>
      <w:bookmarkStart w:id="283" w:name="_Ref125370079"/>
      <w:r/>
      <w:bookmarkStart w:id="284" w:name="_Ref125709153"/>
      <w:r/>
      <w:bookmarkStart w:id="285" w:name="_Ref125709250"/>
      <w:r/>
      <w:bookmarkStart w:id="286" w:name="_Ref125709401"/>
      <w:r/>
      <w:bookmarkStart w:id="287" w:name="_Ref125709888"/>
      <w:r>
        <w:t xml:space="preserve">Специальные требования</w:t>
      </w:r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416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2"/>
        <w:spacing w:after="120"/>
      </w:pPr>
      <w:r/>
      <w:bookmarkStart w:id="418" w:name="_Toc52"/>
      <w:r/>
      <w:bookmarkStart w:id="302" w:name="_Ref125361823"/>
      <w:r/>
      <w:bookmarkStart w:id="303" w:name="_Ref125362031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70209"/>
      <w:r/>
      <w:bookmarkStart w:id="308" w:name="_Ref125709777"/>
      <w:r/>
      <w:bookmarkStart w:id="309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418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1" w:name="_Ref125370187"/>
            <w:r/>
            <w:bookmarkEnd w:id="31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2" w:name="_Ref125370193"/>
            <w:r/>
            <w:bookmarkEnd w:id="31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3.3.4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3" w:name="_Ref12555384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9" w:name="_Toc53"/>
      <w:r/>
      <w:bookmarkStart w:id="314" w:name="Прил04_ФормыЗаявки"/>
      <w:r/>
      <w:bookmarkStart w:id="315" w:name="_Ref125362865"/>
      <w:r/>
      <w:bookmarkStart w:id="316" w:name="_Ref125362900"/>
      <w:r/>
      <w:bookmarkEnd w:id="314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19"/>
      <w:r/>
      <w:r/>
    </w:p>
    <w:p>
      <w:pPr>
        <w:pStyle w:val="1102"/>
      </w:pPr>
      <w:r/>
      <w:bookmarkStart w:id="420" w:name="_Toc54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20"/>
      <w:r/>
      <w:r/>
    </w:p>
    <w:p>
      <w:pPr>
        <w:pStyle w:val="1103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/>
    </w:p>
    <w:p>
      <w:pPr>
        <w:pStyle w:val="1101"/>
      </w:pPr>
      <w:r/>
      <w:bookmarkStart w:id="421" w:name="_Toc55"/>
      <w:r/>
      <w:bookmarkStart w:id="319" w:name="Прил05_ФормыПобедителя"/>
      <w:r/>
      <w:bookmarkEnd w:id="31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21"/>
      <w:r/>
      <w:r/>
    </w:p>
    <w:p>
      <w:pPr>
        <w:pStyle w:val="1102"/>
      </w:pPr>
      <w:r/>
      <w:bookmarkStart w:id="422" w:name="_Toc56"/>
      <w:r>
        <w:t xml:space="preserve">Пояснения к Образцам форм документов, предоставляемых Победителем</w:t>
      </w:r>
      <w:bookmarkEnd w:id="422"/>
      <w:r/>
      <w:r/>
    </w:p>
    <w:p>
      <w:pPr>
        <w:pStyle w:val="1103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423" w:name="_Toc57"/>
      <w:r/>
      <w:bookmarkStart w:id="32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2"/>
      <w:r/>
      <w:bookmarkEnd w:id="423"/>
      <w:r/>
      <w:r/>
    </w:p>
    <w:p>
      <w:pPr>
        <w:pStyle w:val="1103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03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</w:pPr>
      <w:r/>
      <w:bookmarkStart w:id="324" w:name="_MON_1741074142"/>
      <w:r/>
      <w:bookmarkEnd w:id="324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102"/>
      </w:pPr>
      <w:r/>
      <w:bookmarkStart w:id="424" w:name="_Toc58"/>
      <w:r/>
      <w:bookmarkStart w:id="325" w:name="_Ref130395475"/>
      <w:r>
        <w:t xml:space="preserve">Форма «Заверение об обстоятельствах»</w:t>
      </w:r>
      <w:bookmarkEnd w:id="325"/>
      <w:r/>
      <w:bookmarkEnd w:id="424"/>
      <w:r/>
      <w:r/>
    </w:p>
    <w:p>
      <w:pPr>
        <w:pStyle w:val="1103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03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03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03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  <w:spacing w:after="120"/>
      </w:pPr>
      <w:r/>
      <w:bookmarkStart w:id="327" w:name="_MON_1741074184"/>
      <w:r/>
      <w:bookmarkEnd w:id="327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101"/>
      </w:pPr>
      <w:r/>
      <w:bookmarkStart w:id="425" w:name="_Toc59"/>
      <w:r/>
      <w:bookmarkStart w:id="328" w:name="Прил06_СоставЗаявки"/>
      <w:r/>
      <w:bookmarkEnd w:id="328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15"/>
      <w:r/>
      <w:bookmarkEnd w:id="316"/>
      <w:r/>
      <w:bookmarkEnd w:id="425"/>
      <w:r/>
      <w:r/>
    </w:p>
    <w:p>
      <w:pPr>
        <w:pStyle w:val="1102"/>
      </w:pPr>
      <w:r/>
      <w:bookmarkStart w:id="426" w:name="_Toc60"/>
      <w:r>
        <w:t xml:space="preserve">Состав заявки</w:t>
      </w:r>
      <w:bookmarkEnd w:id="426"/>
      <w:r/>
      <w:r/>
    </w:p>
    <w:p>
      <w:pPr>
        <w:pStyle w:val="1103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(о</w:t>
      </w:r>
      <w:r>
        <w:t xml:space="preserve">бразцы форм документов, включаемых в состав заявки</w:t>
      </w:r>
      <w:r>
        <w:t xml:space="preserve"> (с</w:t>
      </w:r>
      <w:r>
        <w:t xml:space="preserve"> </w:t>
      </w:r>
      <w:r>
        <w:t xml:space="preserve">инструкциями по их оформлению</w:t>
      </w:r>
      <w:r>
        <w:t xml:space="preserve">)</w:t>
      </w:r>
      <w:r>
        <w:t xml:space="preserve">, приведены в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</w:t>
        </w:r>
        <w:r>
          <w:rPr>
            <w:rStyle w:val="1131"/>
          </w:rPr>
          <w:t xml:space="preserve">и</w:t>
        </w:r>
        <w:r>
          <w:rPr>
            <w:rStyle w:val="1131"/>
          </w:rPr>
          <w:t xml:space="preserve">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28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генерального подрядчик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Календарный график (форма 5);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Анкета Участника (форма 6);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3.3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31" w:name="_Ref132888537"/>
            <w:r/>
            <w:bookmarkEnd w:id="33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03"/>
        <w:rPr>
          <w:rStyle w:val="1112"/>
          <w:i w:val="0"/>
          <w:iCs w:val="0"/>
          <w:shd w:val="clear" w:color="auto" w:fill="auto"/>
        </w:rPr>
      </w:pP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12"/>
          <w:i w:val="0"/>
          <w:iCs w:val="0"/>
          <w:shd w:val="clear" w:color="auto" w:fill="auto"/>
        </w:rPr>
        <w:t xml:space="preserve"> </w:t>
      </w:r>
      <w:r>
        <w:rPr>
          <w:rStyle w:val="1112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rPr>
          <w:rStyle w:val="1112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1"/>
      </w:pPr>
      <w:r/>
      <w:bookmarkStart w:id="427" w:name="_Toc61"/>
      <w:r/>
      <w:bookmarkStart w:id="332" w:name="Прил07_ОтборочныеКритерии"/>
      <w:r/>
      <w:bookmarkStart w:id="333" w:name="_Ref125365264"/>
      <w:r/>
      <w:bookmarkEnd w:id="332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33"/>
      <w:r/>
      <w:bookmarkEnd w:id="427"/>
      <w:r/>
      <w:r/>
    </w:p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8" w:name="_Toc62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12"/>
          <w:i w:val="0"/>
          <w:iCs w:val="0"/>
          <w:shd w:val="clear" w:color="auto" w:fill="auto"/>
        </w:rPr>
        <w:t xml:space="preserve">первых частей </w:t>
      </w:r>
      <w:r>
        <w:rPr>
          <w:rStyle w:val="1112"/>
          <w:i w:val="0"/>
          <w:iCs w:val="0"/>
          <w:shd w:val="clear" w:color="auto" w:fill="auto"/>
        </w:rPr>
        <w:t xml:space="preserve">заявок</w:t>
      </w:r>
      <w:r>
        <w:rPr>
          <w:rStyle w:val="1112"/>
          <w:i w:val="0"/>
          <w:iCs w:val="0"/>
          <w:shd w:val="clear" w:color="auto" w:fill="auto"/>
        </w:rPr>
      </w:r>
      <w:bookmarkEnd w:id="428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</w:t>
            </w:r>
            <w:r>
              <w:t xml:space="preserve"> </w:t>
            </w:r>
            <w:r>
              <w:t xml:space="preserve">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9" w:name="_Toc63"/>
      <w:r/>
      <w:bookmarkStart w:id="337" w:name="_Hlk132891087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7"/>
      <w:r>
        <w:rPr>
          <w:rStyle w:val="1112"/>
          <w:i w:val="0"/>
          <w:iCs w:val="0"/>
          <w:shd w:val="clear" w:color="auto" w:fill="auto"/>
        </w:rPr>
      </w:r>
      <w:bookmarkEnd w:id="429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39" w:name="_Ref132890414"/>
            <w:r/>
            <w:bookmarkEnd w:id="339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t xml:space="preserve">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</w:t>
            </w:r>
            <w:r>
              <w:t xml:space="preserve">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07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30" w:name="_Toc64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12"/>
          <w:i w:val="0"/>
          <w:iCs w:val="0"/>
          <w:shd w:val="clear" w:color="auto" w:fill="auto"/>
        </w:rPr>
      </w:r>
      <w:bookmarkEnd w:id="430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07"/>
              <w:jc w:val="center"/>
              <w:rPr>
                <w:rStyle w:val="1131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</w:t>
            </w:r>
            <w:r>
              <w:t xml:space="preserve">а также </w:t>
            </w:r>
            <w:r>
              <w:t xml:space="preserve">противоречий между документами заявки и сведениями, указанными Участником в </w:t>
            </w:r>
            <w:r>
              <w:t xml:space="preserve">структурированных </w:t>
            </w:r>
            <w:r>
              <w:t xml:space="preserve">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31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</w:t>
            </w:r>
            <w:r>
              <w:rPr>
                <w:strike w:val="0"/>
                <w:color w:val="000000" w:themeColor="text1"/>
              </w:rPr>
              <w:t xml:space="preserve"> </w:t>
            </w:r>
            <w:r>
              <w:rPr>
                <w:strike w:val="0"/>
                <w:color w:val="000000" w:themeColor="text1"/>
              </w:rPr>
              <w:t xml:space="preserve">информации и перечню документов, которые подтверждают страну </w:t>
            </w:r>
            <w:r>
              <w:rPr>
                <w:strike w:val="0"/>
                <w:color w:val="000000" w:themeColor="text1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подразделы 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4.3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t xml:space="preserve">, 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4.14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Приложение № 1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color w:val="000000" w:themeColor="text1"/>
                </w:rPr>
                <w:t xml:space="preserve">Приложение № 1</w:t>
              </w:r>
            </w:hyperlink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</w:tbl>
    <w:p>
      <w:pPr>
        <w:pStyle w:val="1102"/>
        <w:rPr>
          <w:rStyle w:val="1112"/>
          <w:i w:val="0"/>
          <w:iCs w:val="0"/>
          <w:shd w:val="clear" w:color="auto" w:fill="auto"/>
        </w:rPr>
      </w:pPr>
      <w:r/>
      <w:bookmarkStart w:id="431" w:name="_Toc65"/>
      <w:r>
        <w:rPr>
          <w:rStyle w:val="1112"/>
          <w:i w:val="0"/>
          <w:iCs w:val="0"/>
          <w:shd w:val="clear" w:color="auto" w:fill="auto"/>
        </w:rPr>
        <w:t xml:space="preserve">Дополнительные</w:t>
      </w:r>
      <w:r>
        <w:rPr>
          <w:rStyle w:val="1112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12"/>
          <w:i w:val="0"/>
          <w:iCs w:val="0"/>
          <w:shd w:val="clear" w:color="auto" w:fill="auto"/>
        </w:rPr>
        <w:t xml:space="preserve">ок</w:t>
      </w:r>
      <w:r>
        <w:rPr>
          <w:rStyle w:val="1112"/>
          <w:i w:val="0"/>
          <w:iCs w:val="0"/>
          <w:shd w:val="clear" w:color="auto" w:fill="auto"/>
        </w:rPr>
        <w:t xml:space="preserve"> на соответстви</w:t>
      </w: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 условиям Документации о закупке</w:t>
      </w:r>
      <w:r>
        <w:rPr>
          <w:rStyle w:val="1112"/>
          <w:i w:val="0"/>
          <w:iCs w:val="0"/>
          <w:shd w:val="clear" w:color="auto" w:fill="auto"/>
        </w:rPr>
      </w:r>
      <w:bookmarkEnd w:id="431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rPr>
                <w:i/>
                <w:iCs/>
                <w:strike w:val="0"/>
                <w:color w:val="ff0000" w:themeColor="text1"/>
              </w:rPr>
            </w:pPr>
            <w:r>
              <w:t xml:space="preserve">Наличие </w:t>
            </w:r>
            <w:r>
              <w:t xml:space="preserve">в заявке в форме </w:t>
            </w:r>
            <w:r>
              <w:t xml:space="preserve">Коммерческо</w:t>
            </w:r>
            <w:r>
              <w:t xml:space="preserve">го</w:t>
            </w:r>
            <w:r>
              <w:t xml:space="preserve"> предложени</w:t>
            </w:r>
            <w:r>
              <w:t xml:space="preserve">я</w:t>
            </w:r>
            <w:r>
              <w:t xml:space="preserve"> </w:t>
            </w:r>
            <w:r>
              <w:t xml:space="preserve">информации о</w:t>
            </w:r>
            <w:r>
              <w:t xml:space="preserve"> </w:t>
            </w:r>
            <w:r>
              <w:t xml:space="preserve">стране происхождения товара </w:t>
            </w: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 w:val="0"/>
                <w:color w:val="ff0000" w:themeColor="text1"/>
              </w:rPr>
            </w:r>
            <w:r>
              <w:rPr>
                <w:i/>
                <w:iCs/>
                <w:strike w:val="0"/>
                <w:color w:val="ff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07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t xml:space="preserve">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</w:t>
      </w:r>
      <w: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07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t xml:space="preserve">проверка отсутствия противоречий (в части стоимости заявки (цены Договора)) между Письмом о</w:t>
      </w:r>
      <w:r>
        <w:t xml:space="preserve"> </w:t>
      </w:r>
      <w:r>
        <w:t xml:space="preserve">подаче оферты и сведениями, указанными Участником в структурированных формах на ЭП;</w:t>
      </w:r>
      <w:r>
        <w:t xml:space="preserve"> </w:t>
      </w:r>
      <w: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07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2" w:name="_Toc66"/>
      <w:r/>
      <w:bookmarkStart w:id="342" w:name="Прил08_ПорядокОценки"/>
      <w:r/>
      <w:bookmarkStart w:id="343" w:name="_Ref125361648"/>
      <w:r/>
      <w:bookmarkStart w:id="344" w:name="_Ref125361951"/>
      <w:r/>
      <w:bookmarkStart w:id="345" w:name="_Ref125366013"/>
      <w:r/>
      <w:bookmarkStart w:id="346" w:name="_Ref125366280"/>
      <w:r/>
      <w:bookmarkStart w:id="347" w:name="_Ref125366285"/>
      <w:r/>
      <w:bookmarkStart w:id="348" w:name="_Ref125368140"/>
      <w:r/>
      <w:bookmarkStart w:id="349" w:name="_Ref125368150"/>
      <w:r/>
      <w:bookmarkStart w:id="350" w:name="_Ref125368165"/>
      <w:r/>
      <w:bookmarkStart w:id="351" w:name="_Ref125368172"/>
      <w:r/>
      <w:bookmarkStart w:id="352" w:name="_Ref125368184"/>
      <w:r/>
      <w:bookmarkStart w:id="353" w:name="_Ref125368283"/>
      <w:r/>
      <w:bookmarkStart w:id="354" w:name="_Ref125368291"/>
      <w:r/>
      <w:bookmarkStart w:id="355" w:name="_Ref125368302"/>
      <w:r/>
      <w:bookmarkStart w:id="356" w:name="_Ref125368313"/>
      <w:r/>
      <w:bookmarkStart w:id="357" w:name="_Ref125368331"/>
      <w:r/>
      <w:bookmarkStart w:id="358" w:name="_Ref125369021"/>
      <w:r/>
      <w:bookmarkStart w:id="359" w:name="_Ref125369438"/>
      <w:r/>
      <w:bookmarkEnd w:id="342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43"/>
      <w:r/>
      <w:bookmarkEnd w:id="344"/>
      <w:r/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8"/>
      <w:r/>
      <w:bookmarkEnd w:id="359"/>
      <w:r/>
      <w:bookmarkEnd w:id="432"/>
      <w:r/>
      <w:r/>
    </w:p>
    <w:p>
      <w:pPr>
        <w:pStyle w:val="1102"/>
      </w:pPr>
      <w:r/>
      <w:bookmarkStart w:id="433" w:name="_Toc67"/>
      <w:r>
        <w:t xml:space="preserve">Порядок и критерии оценки и сопоставления заявок</w:t>
      </w:r>
      <w:bookmarkEnd w:id="433"/>
      <w:r/>
      <w:r/>
    </w:p>
    <w:p>
      <w:pPr>
        <w:pStyle w:val="1103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15"/>
        </w:rPr>
        <w:footnoteReference w:id="15"/>
      </w:r>
      <w:r>
        <w:t xml:space="preserve">.</w:t>
      </w:r>
      <w:r/>
    </w:p>
    <w:p>
      <w:pPr>
        <w:pStyle w:val="1103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4" w:name="_Toc68"/>
      <w:r/>
      <w:bookmarkStart w:id="362" w:name="Прил09_ОбоснованиеНМЦ"/>
      <w:r/>
      <w:bookmarkStart w:id="363" w:name="_Ref125360420"/>
      <w:r/>
      <w:bookmarkEnd w:id="362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63"/>
      <w:r/>
      <w:bookmarkEnd w:id="434"/>
      <w:r/>
      <w:r/>
    </w:p>
    <w:p>
      <w:pPr>
        <w:pStyle w:val="1102"/>
      </w:pPr>
      <w:r/>
      <w:bookmarkStart w:id="435" w:name="_Toc69"/>
      <w:r>
        <w:t xml:space="preserve">Пояснения к Обоснованию НМЦ</w:t>
      </w:r>
      <w:bookmarkEnd w:id="435"/>
      <w:r/>
      <w:r/>
    </w:p>
    <w:p>
      <w:pPr>
        <w:pStyle w:val="1103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01"/>
      </w:pPr>
      <w:r/>
      <w:bookmarkStart w:id="436" w:name="_Toc70"/>
      <w:r/>
      <w:bookmarkStart w:id="366" w:name="Прил10_ФормаЗаявкиНаАккредитацию"/>
      <w:r/>
      <w:bookmarkEnd w:id="366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36"/>
      <w:r/>
      <w:r/>
    </w:p>
    <w:p>
      <w:pPr>
        <w:pStyle w:val="1102"/>
      </w:pPr>
      <w:r/>
      <w:bookmarkStart w:id="437" w:name="_Toc71"/>
      <w:r>
        <w:t xml:space="preserve">Пояснения к форме Заявки на аккредитацию</w:t>
      </w:r>
      <w:bookmarkEnd w:id="437"/>
      <w:r/>
      <w:r/>
    </w:p>
    <w:p>
      <w:pPr>
        <w:pStyle w:val="1103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/>
    </w:p>
    <w:p>
      <w:pPr>
        <w:pStyle w:val="1107"/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Каушнян Елена Валериевна" w:date="2025-07-29T06:56:00Z" w:initials="КЕВ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Норбит Национальный режим предоставляется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2AF90E7" w16cex:dateUtc="2025-07-28T20:56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2AF90E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Wingdings 3">
    <w:panose1 w:val="05040102010807070707"/>
  </w:font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Batang">
    <w:panose1 w:val="02000506000000020000"/>
  </w:font>
  <w:font w:name="Calibri">
    <w:panose1 w:val="020F0502020204030204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16"/>
      </w:pPr>
      <w:r>
        <w:rPr>
          <w:rStyle w:val="1115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\r \h </w:instrText>
      </w:r>
      <w:r>
        <w:fldChar w:fldCharType="separate"/>
      </w:r>
      <w:r>
        <w:t xml:space="preserve">4.19.5</w:t>
      </w:r>
      <w:r>
        <w:fldChar w:fldCharType="end"/>
      </w:r>
      <w:r>
        <w:t xml:space="preserve">.</w:t>
      </w:r>
      <w:r/>
    </w:p>
  </w:footnote>
  <w:footnote w:id="8">
    <w:p>
      <w:pPr>
        <w:pStyle w:val="1113"/>
        <w:ind w:left="567" w:hanging="567"/>
        <w:jc w:val="both"/>
        <w:rPr>
          <w:sz w:val="22"/>
        </w:rPr>
      </w:pPr>
      <w:r>
        <w:rPr>
          <w:rStyle w:val="1115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16"/>
      </w:pPr>
      <w:r>
        <w:rPr>
          <w:rStyle w:val="1115"/>
        </w:rPr>
        <w:footnoteRef/>
      </w:r>
      <w:r>
        <w:tab/>
      </w:r>
      <w:bookmarkStart w:id="149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49"/>
      <w:r/>
      <w:r/>
    </w:p>
  </w:footnote>
  <w:footnote w:id="10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44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45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01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0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0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04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05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аушнян Елена Валериевна">
    <w15:presenceInfo w15:providerId="Teamlab" w15:userId="Каушнян Елена Валери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35">
    <w:name w:val="Heading 1 Char"/>
    <w:basedOn w:val="1098"/>
    <w:link w:val="1095"/>
    <w:uiPriority w:val="9"/>
    <w:rPr>
      <w:rFonts w:ascii="Arial" w:hAnsi="Arial" w:eastAsia="Arial" w:cs="Arial"/>
      <w:sz w:val="40"/>
      <w:szCs w:val="40"/>
    </w:rPr>
  </w:style>
  <w:style w:type="character" w:styleId="936">
    <w:name w:val="Heading 2 Char"/>
    <w:basedOn w:val="1098"/>
    <w:link w:val="1096"/>
    <w:uiPriority w:val="9"/>
    <w:rPr>
      <w:rFonts w:ascii="Arial" w:hAnsi="Arial" w:eastAsia="Arial" w:cs="Arial"/>
      <w:sz w:val="34"/>
    </w:rPr>
  </w:style>
  <w:style w:type="character" w:styleId="937">
    <w:name w:val="Heading 3 Char"/>
    <w:basedOn w:val="1098"/>
    <w:link w:val="1097"/>
    <w:uiPriority w:val="9"/>
    <w:rPr>
      <w:rFonts w:ascii="Arial" w:hAnsi="Arial" w:eastAsia="Arial" w:cs="Arial"/>
      <w:sz w:val="30"/>
      <w:szCs w:val="30"/>
    </w:rPr>
  </w:style>
  <w:style w:type="paragraph" w:styleId="938">
    <w:name w:val="Heading 4"/>
    <w:basedOn w:val="1094"/>
    <w:next w:val="1094"/>
    <w:link w:val="9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9">
    <w:name w:val="Heading 4 Char"/>
    <w:basedOn w:val="1098"/>
    <w:link w:val="938"/>
    <w:uiPriority w:val="9"/>
    <w:rPr>
      <w:rFonts w:ascii="Arial" w:hAnsi="Arial" w:eastAsia="Arial" w:cs="Arial"/>
      <w:b/>
      <w:bCs/>
      <w:sz w:val="26"/>
      <w:szCs w:val="26"/>
    </w:rPr>
  </w:style>
  <w:style w:type="paragraph" w:styleId="940">
    <w:name w:val="Heading 5"/>
    <w:basedOn w:val="1094"/>
    <w:next w:val="1094"/>
    <w:link w:val="9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41">
    <w:name w:val="Heading 5 Char"/>
    <w:basedOn w:val="1098"/>
    <w:link w:val="940"/>
    <w:uiPriority w:val="9"/>
    <w:rPr>
      <w:rFonts w:ascii="Arial" w:hAnsi="Arial" w:eastAsia="Arial" w:cs="Arial"/>
      <w:b/>
      <w:bCs/>
      <w:sz w:val="24"/>
      <w:szCs w:val="24"/>
    </w:rPr>
  </w:style>
  <w:style w:type="paragraph" w:styleId="942">
    <w:name w:val="Heading 6"/>
    <w:basedOn w:val="1094"/>
    <w:next w:val="1094"/>
    <w:link w:val="9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43">
    <w:name w:val="Heading 6 Char"/>
    <w:basedOn w:val="1098"/>
    <w:link w:val="942"/>
    <w:uiPriority w:val="9"/>
    <w:rPr>
      <w:rFonts w:ascii="Arial" w:hAnsi="Arial" w:eastAsia="Arial" w:cs="Arial"/>
      <w:b/>
      <w:bCs/>
      <w:sz w:val="22"/>
      <w:szCs w:val="22"/>
    </w:rPr>
  </w:style>
  <w:style w:type="paragraph" w:styleId="944">
    <w:name w:val="Heading 7"/>
    <w:basedOn w:val="1094"/>
    <w:next w:val="1094"/>
    <w:link w:val="9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45">
    <w:name w:val="Heading 7 Char"/>
    <w:basedOn w:val="1098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46">
    <w:name w:val="Heading 8"/>
    <w:basedOn w:val="1094"/>
    <w:next w:val="1094"/>
    <w:link w:val="9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7">
    <w:name w:val="Heading 8 Char"/>
    <w:basedOn w:val="1098"/>
    <w:link w:val="946"/>
    <w:uiPriority w:val="9"/>
    <w:rPr>
      <w:rFonts w:ascii="Arial" w:hAnsi="Arial" w:eastAsia="Arial" w:cs="Arial"/>
      <w:i/>
      <w:iCs/>
      <w:sz w:val="22"/>
      <w:szCs w:val="22"/>
    </w:rPr>
  </w:style>
  <w:style w:type="paragraph" w:styleId="948">
    <w:name w:val="Heading 9"/>
    <w:basedOn w:val="1094"/>
    <w:next w:val="1094"/>
    <w:link w:val="9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9">
    <w:name w:val="Heading 9 Char"/>
    <w:basedOn w:val="1098"/>
    <w:link w:val="948"/>
    <w:uiPriority w:val="9"/>
    <w:rPr>
      <w:rFonts w:ascii="Arial" w:hAnsi="Arial" w:eastAsia="Arial" w:cs="Arial"/>
      <w:i/>
      <w:iCs/>
      <w:sz w:val="21"/>
      <w:szCs w:val="21"/>
    </w:rPr>
  </w:style>
  <w:style w:type="paragraph" w:styleId="950">
    <w:name w:val="No Spacing"/>
    <w:uiPriority w:val="1"/>
    <w:qFormat/>
    <w:pPr>
      <w:spacing w:before="0" w:after="0" w:line="240" w:lineRule="auto"/>
    </w:pPr>
  </w:style>
  <w:style w:type="paragraph" w:styleId="951">
    <w:name w:val="Title"/>
    <w:basedOn w:val="1094"/>
    <w:next w:val="1094"/>
    <w:link w:val="9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52">
    <w:name w:val="Title Char"/>
    <w:basedOn w:val="1098"/>
    <w:link w:val="951"/>
    <w:uiPriority w:val="10"/>
    <w:rPr>
      <w:sz w:val="48"/>
      <w:szCs w:val="48"/>
    </w:rPr>
  </w:style>
  <w:style w:type="paragraph" w:styleId="953">
    <w:name w:val="Subtitle"/>
    <w:basedOn w:val="1094"/>
    <w:next w:val="1094"/>
    <w:link w:val="954"/>
    <w:uiPriority w:val="11"/>
    <w:qFormat/>
    <w:pPr>
      <w:spacing w:before="200" w:after="200"/>
    </w:pPr>
    <w:rPr>
      <w:sz w:val="24"/>
      <w:szCs w:val="24"/>
    </w:rPr>
  </w:style>
  <w:style w:type="character" w:styleId="954">
    <w:name w:val="Subtitle Char"/>
    <w:basedOn w:val="1098"/>
    <w:link w:val="953"/>
    <w:uiPriority w:val="11"/>
    <w:rPr>
      <w:sz w:val="24"/>
      <w:szCs w:val="24"/>
    </w:rPr>
  </w:style>
  <w:style w:type="paragraph" w:styleId="955">
    <w:name w:val="Quote"/>
    <w:basedOn w:val="1094"/>
    <w:next w:val="1094"/>
    <w:link w:val="956"/>
    <w:uiPriority w:val="29"/>
    <w:qFormat/>
    <w:pPr>
      <w:ind w:left="720" w:right="720"/>
    </w:pPr>
    <w:rPr>
      <w:i/>
    </w:rPr>
  </w:style>
  <w:style w:type="character" w:styleId="956">
    <w:name w:val="Quote Char"/>
    <w:link w:val="955"/>
    <w:uiPriority w:val="29"/>
    <w:rPr>
      <w:i/>
    </w:rPr>
  </w:style>
  <w:style w:type="paragraph" w:styleId="957">
    <w:name w:val="Intense Quote"/>
    <w:basedOn w:val="1094"/>
    <w:next w:val="1094"/>
    <w:link w:val="95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8">
    <w:name w:val="Intense Quote Char"/>
    <w:link w:val="957"/>
    <w:uiPriority w:val="30"/>
    <w:rPr>
      <w:i/>
    </w:rPr>
  </w:style>
  <w:style w:type="character" w:styleId="959">
    <w:name w:val="Header Char"/>
    <w:basedOn w:val="1098"/>
    <w:link w:val="1108"/>
    <w:uiPriority w:val="99"/>
  </w:style>
  <w:style w:type="character" w:styleId="960">
    <w:name w:val="Footer Char"/>
    <w:basedOn w:val="1098"/>
    <w:link w:val="1110"/>
    <w:uiPriority w:val="99"/>
  </w:style>
  <w:style w:type="paragraph" w:styleId="961">
    <w:name w:val="Caption"/>
    <w:basedOn w:val="1094"/>
    <w:next w:val="1094"/>
    <w:link w:val="9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62">
    <w:name w:val="Caption Char"/>
    <w:basedOn w:val="961"/>
    <w:link w:val="1110"/>
    <w:uiPriority w:val="99"/>
  </w:style>
  <w:style w:type="table" w:styleId="963">
    <w:name w:val="Table Grid Light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4">
    <w:name w:val="Plain Table 1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5">
    <w:name w:val="Plain Table 2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6">
    <w:name w:val="Plain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7">
    <w:name w:val="Plain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Plain Table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9">
    <w:name w:val="Grid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Grid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Grid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Grid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Grid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Grid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Grid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Grid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1">
    <w:name w:val="Grid Table 4 - Accent 1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92">
    <w:name w:val="Grid Table 4 - Accent 2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93">
    <w:name w:val="Grid Table 4 - Accent 3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94">
    <w:name w:val="Grid Table 4 - Accent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95">
    <w:name w:val="Grid Table 4 - Accent 5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96">
    <w:name w:val="Grid Table 4 - Accent 6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97">
    <w:name w:val="Grid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8">
    <w:name w:val="Grid Table 5 Dark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99">
    <w:name w:val="Grid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0">
    <w:name w:val="Grid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01">
    <w:name w:val="Grid Table 5 Dark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02">
    <w:name w:val="Grid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03">
    <w:name w:val="Grid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04">
    <w:name w:val="Grid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05">
    <w:name w:val="Grid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06">
    <w:name w:val="Grid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07">
    <w:name w:val="Grid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8">
    <w:name w:val="Grid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9">
    <w:name w:val="Grid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0">
    <w:name w:val="Grid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1">
    <w:name w:val="Grid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List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List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List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List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List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List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List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26">
    <w:name w:val="List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27">
    <w:name w:val="List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8">
    <w:name w:val="List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9">
    <w:name w:val="List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0">
    <w:name w:val="List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31">
    <w:name w:val="List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32">
    <w:name w:val="List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4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4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4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4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4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7">
    <w:name w:val="List Table 5 Dark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8">
    <w:name w:val="List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9">
    <w:name w:val="List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0">
    <w:name w:val="List Table 5 Dark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1">
    <w:name w:val="List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2">
    <w:name w:val="List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3">
    <w:name w:val="List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54">
    <w:name w:val="List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55">
    <w:name w:val="List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6">
    <w:name w:val="List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57">
    <w:name w:val="List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8">
    <w:name w:val="List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9">
    <w:name w:val="List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0">
    <w:name w:val="List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61">
    <w:name w:val="List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62">
    <w:name w:val="List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63">
    <w:name w:val="List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64">
    <w:name w:val="List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65">
    <w:name w:val="List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66">
    <w:name w:val="List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67">
    <w:name w:val="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8">
    <w:name w:val="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69">
    <w:name w:val="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0">
    <w:name w:val="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1">
    <w:name w:val="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2">
    <w:name w:val="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73">
    <w:name w:val="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4">
    <w:name w:val="Bordered &amp; 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5">
    <w:name w:val="Bordered &amp; 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6">
    <w:name w:val="Bordered &amp; 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7">
    <w:name w:val="Bordered &amp; 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8">
    <w:name w:val="Bordered &amp; 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9">
    <w:name w:val="Bordered &amp; 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0">
    <w:name w:val="Bordered &amp; 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1">
    <w:name w:val="Bordered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82">
    <w:name w:val="Bordered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83">
    <w:name w:val="Bordered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84">
    <w:name w:val="Bordered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85">
    <w:name w:val="Bordered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86">
    <w:name w:val="Bordered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87">
    <w:name w:val="Bordered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8">
    <w:name w:val="Footnote Text Char"/>
    <w:link w:val="1113"/>
    <w:uiPriority w:val="99"/>
    <w:rPr>
      <w:sz w:val="18"/>
    </w:rPr>
  </w:style>
  <w:style w:type="paragraph" w:styleId="1089">
    <w:name w:val="endnote text"/>
    <w:basedOn w:val="1094"/>
    <w:link w:val="1090"/>
    <w:uiPriority w:val="99"/>
    <w:semiHidden/>
    <w:unhideWhenUsed/>
    <w:pPr>
      <w:spacing w:after="0" w:line="240" w:lineRule="auto"/>
    </w:pPr>
    <w:rPr>
      <w:sz w:val="20"/>
    </w:rPr>
  </w:style>
  <w:style w:type="character" w:styleId="1090">
    <w:name w:val="Endnote Text Char"/>
    <w:link w:val="1089"/>
    <w:uiPriority w:val="99"/>
    <w:rPr>
      <w:sz w:val="20"/>
    </w:rPr>
  </w:style>
  <w:style w:type="character" w:styleId="1091">
    <w:name w:val="endnote reference"/>
    <w:basedOn w:val="1098"/>
    <w:uiPriority w:val="99"/>
    <w:semiHidden/>
    <w:unhideWhenUsed/>
    <w:rPr>
      <w:vertAlign w:val="superscript"/>
    </w:rPr>
  </w:style>
  <w:style w:type="paragraph" w:styleId="1092">
    <w:name w:val="TOC Heading"/>
    <w:uiPriority w:val="39"/>
    <w:unhideWhenUsed/>
  </w:style>
  <w:style w:type="paragraph" w:styleId="1093">
    <w:name w:val="table of figures"/>
    <w:basedOn w:val="1094"/>
    <w:next w:val="1094"/>
    <w:uiPriority w:val="99"/>
    <w:unhideWhenUsed/>
    <w:pPr>
      <w:spacing w:after="0" w:afterAutospacing="0"/>
    </w:pPr>
  </w:style>
  <w:style w:type="paragraph" w:styleId="1094" w:default="1">
    <w:name w:val="Normal"/>
    <w:qFormat/>
  </w:style>
  <w:style w:type="paragraph" w:styleId="1095">
    <w:name w:val="Heading 1"/>
    <w:basedOn w:val="1094"/>
    <w:next w:val="1094"/>
    <w:link w:val="1146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096">
    <w:name w:val="Heading 2"/>
    <w:basedOn w:val="1094"/>
    <w:next w:val="1094"/>
    <w:link w:val="1147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097">
    <w:name w:val="Heading 3"/>
    <w:basedOn w:val="1094"/>
    <w:next w:val="1094"/>
    <w:link w:val="1148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098" w:default="1">
    <w:name w:val="Default Paragraph Font"/>
    <w:uiPriority w:val="1"/>
    <w:semiHidden/>
    <w:unhideWhenUsed/>
  </w:style>
  <w:style w:type="table" w:styleId="10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0" w:default="1">
    <w:name w:val="No List"/>
    <w:uiPriority w:val="99"/>
    <w:semiHidden/>
    <w:unhideWhenUsed/>
  </w:style>
  <w:style w:type="paragraph" w:styleId="1101" w:customStyle="1">
    <w:name w:val="[РГ] Раздел"/>
    <w:basedOn w:val="1094"/>
    <w:next w:val="1102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02" w:customStyle="1">
    <w:name w:val="[РГ] Подраздел"/>
    <w:basedOn w:val="1094"/>
    <w:next w:val="1103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03" w:customStyle="1">
    <w:name w:val="[РГ] Пункт"/>
    <w:basedOn w:val="1094"/>
    <w:qFormat/>
    <w:pPr>
      <w:numPr>
        <w:ilvl w:val="2"/>
        <w:numId w:val="1"/>
      </w:numPr>
      <w:jc w:val="both"/>
      <w:outlineLvl w:val="2"/>
    </w:pPr>
  </w:style>
  <w:style w:type="paragraph" w:styleId="1104" w:customStyle="1">
    <w:name w:val="[РГ] Подпункт"/>
    <w:basedOn w:val="1094"/>
    <w:qFormat/>
    <w:pPr>
      <w:numPr>
        <w:ilvl w:val="3"/>
        <w:numId w:val="1"/>
      </w:numPr>
      <w:jc w:val="both"/>
      <w:outlineLvl w:val="3"/>
    </w:pPr>
  </w:style>
  <w:style w:type="paragraph" w:styleId="1105" w:customStyle="1">
    <w:name w:val="[РГ] Перечисление"/>
    <w:basedOn w:val="1094"/>
    <w:qFormat/>
    <w:pPr>
      <w:numPr>
        <w:ilvl w:val="4"/>
        <w:numId w:val="1"/>
      </w:numPr>
      <w:jc w:val="both"/>
      <w:outlineLvl w:val="4"/>
    </w:pPr>
  </w:style>
  <w:style w:type="paragraph" w:styleId="1106" w:customStyle="1">
    <w:name w:val="[РГ] Заголовок"/>
    <w:basedOn w:val="1094"/>
    <w:next w:val="1107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07" w:customStyle="1">
    <w:name w:val="[РГ] Текст"/>
    <w:basedOn w:val="1094"/>
    <w:qFormat/>
    <w:pPr>
      <w:jc w:val="both"/>
    </w:pPr>
  </w:style>
  <w:style w:type="paragraph" w:styleId="1108">
    <w:name w:val="Header"/>
    <w:basedOn w:val="1094"/>
    <w:link w:val="1109"/>
    <w:uiPriority w:val="99"/>
    <w:unhideWhenUsed/>
    <w:pPr>
      <w:jc w:val="center"/>
      <w:spacing w:before="0" w:after="120"/>
    </w:pPr>
  </w:style>
  <w:style w:type="character" w:styleId="1109" w:customStyle="1">
    <w:name w:val="Верхний колонтитул Знак"/>
    <w:basedOn w:val="1098"/>
    <w:link w:val="1108"/>
    <w:uiPriority w:val="99"/>
  </w:style>
  <w:style w:type="paragraph" w:styleId="1110">
    <w:name w:val="Footer"/>
    <w:basedOn w:val="1094"/>
    <w:link w:val="1111"/>
    <w:unhideWhenUsed/>
    <w:pPr>
      <w:jc w:val="right"/>
    </w:pPr>
  </w:style>
  <w:style w:type="character" w:styleId="1111" w:customStyle="1">
    <w:name w:val="Нижний колонтитул Знак"/>
    <w:basedOn w:val="1098"/>
    <w:link w:val="1110"/>
    <w:uiPriority w:val="99"/>
  </w:style>
  <w:style w:type="character" w:styleId="1112" w:customStyle="1">
    <w:name w:val="[РГ] Инструкция для организатора"/>
    <w:basedOn w:val="1098"/>
    <w:uiPriority w:val="1"/>
    <w:qFormat/>
    <w:rPr>
      <w:i/>
      <w:iCs/>
      <w:shd w:val="clear" w:color="auto" w:fill="ffff99"/>
      <w:lang w:val="ru-RU"/>
    </w:rPr>
  </w:style>
  <w:style w:type="paragraph" w:styleId="1113">
    <w:name w:val="footnote text"/>
    <w:basedOn w:val="1094"/>
    <w:link w:val="1114"/>
    <w:uiPriority w:val="99"/>
    <w:semiHidden/>
    <w:unhideWhenUsed/>
    <w:pPr>
      <w:spacing w:before="0"/>
    </w:pPr>
    <w:rPr>
      <w:sz w:val="20"/>
      <w:szCs w:val="20"/>
    </w:rPr>
  </w:style>
  <w:style w:type="character" w:styleId="1114" w:customStyle="1">
    <w:name w:val="Текст сноски Знак"/>
    <w:basedOn w:val="1098"/>
    <w:link w:val="1113"/>
    <w:uiPriority w:val="99"/>
    <w:semiHidden/>
    <w:rPr>
      <w:sz w:val="20"/>
      <w:szCs w:val="20"/>
    </w:rPr>
  </w:style>
  <w:style w:type="character" w:styleId="1115">
    <w:name w:val="footnote reference"/>
    <w:basedOn w:val="1098"/>
    <w:unhideWhenUsed/>
    <w:rPr>
      <w:vertAlign w:val="superscript"/>
    </w:rPr>
  </w:style>
  <w:style w:type="paragraph" w:styleId="1116" w:customStyle="1">
    <w:name w:val="[РГ] Сноска"/>
    <w:basedOn w:val="1113"/>
    <w:qFormat/>
    <w:pPr>
      <w:ind w:left="567" w:hanging="567"/>
      <w:jc w:val="both"/>
      <w:spacing w:before="80"/>
    </w:pPr>
    <w:rPr>
      <w:sz w:val="22"/>
    </w:rPr>
  </w:style>
  <w:style w:type="character" w:styleId="1117">
    <w:name w:val="Hyperlink"/>
    <w:basedOn w:val="1098"/>
    <w:uiPriority w:val="99"/>
    <w:unhideWhenUsed/>
    <w:rPr>
      <w:color w:val="0563c1" w:themeColor="hyperlink"/>
      <w:u w:val="single"/>
    </w:rPr>
  </w:style>
  <w:style w:type="character" w:styleId="1118">
    <w:name w:val="Unresolved Mention"/>
    <w:basedOn w:val="1098"/>
    <w:uiPriority w:val="99"/>
    <w:semiHidden/>
    <w:unhideWhenUsed/>
    <w:rPr>
      <w:color w:val="605e5c"/>
      <w:shd w:val="clear" w:color="auto" w:fill="e1dfdd"/>
    </w:rPr>
  </w:style>
  <w:style w:type="paragraph" w:styleId="1119">
    <w:name w:val="toc 2"/>
    <w:basedOn w:val="1094"/>
    <w:next w:val="109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0">
    <w:name w:val="toc 1"/>
    <w:basedOn w:val="1094"/>
    <w:next w:val="109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21">
    <w:name w:val="toc 3"/>
    <w:basedOn w:val="1094"/>
    <w:next w:val="109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2">
    <w:name w:val="toc 4"/>
    <w:basedOn w:val="1094"/>
    <w:next w:val="109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3">
    <w:name w:val="toc 5"/>
    <w:basedOn w:val="1094"/>
    <w:next w:val="109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4">
    <w:name w:val="toc 6"/>
    <w:basedOn w:val="1094"/>
    <w:next w:val="109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5">
    <w:name w:val="toc 7"/>
    <w:basedOn w:val="1094"/>
    <w:next w:val="109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6">
    <w:name w:val="toc 8"/>
    <w:basedOn w:val="1094"/>
    <w:next w:val="109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7">
    <w:name w:val="toc 9"/>
    <w:basedOn w:val="1094"/>
    <w:next w:val="109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28" w:customStyle="1">
    <w:name w:val="[РГ] Таблица"/>
    <w:basedOn w:val="1099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29">
    <w:name w:val="Table Grid"/>
    <w:basedOn w:val="1099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0">
    <w:name w:val="Placeholder Text"/>
    <w:basedOn w:val="1098"/>
    <w:uiPriority w:val="99"/>
    <w:semiHidden/>
    <w:rPr>
      <w:color w:val="808080"/>
    </w:rPr>
  </w:style>
  <w:style w:type="character" w:styleId="1131" w:customStyle="1">
    <w:name w:val="[РГ] Отсылка"/>
    <w:basedOn w:val="1098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32">
    <w:name w:val="annotation reference"/>
    <w:basedOn w:val="1098"/>
    <w:uiPriority w:val="99"/>
    <w:unhideWhenUsed/>
    <w:rPr>
      <w:sz w:val="16"/>
      <w:szCs w:val="16"/>
    </w:rPr>
  </w:style>
  <w:style w:type="paragraph" w:styleId="1133">
    <w:name w:val="annotation text"/>
    <w:basedOn w:val="1094"/>
    <w:link w:val="1134"/>
    <w:uiPriority w:val="99"/>
    <w:unhideWhenUsed/>
    <w:rPr>
      <w:sz w:val="20"/>
      <w:szCs w:val="20"/>
    </w:rPr>
  </w:style>
  <w:style w:type="character" w:styleId="1134" w:customStyle="1">
    <w:name w:val="Текст примечания Знак"/>
    <w:basedOn w:val="1098"/>
    <w:link w:val="1133"/>
    <w:uiPriority w:val="99"/>
    <w:rPr>
      <w:sz w:val="20"/>
      <w:szCs w:val="20"/>
    </w:rPr>
  </w:style>
  <w:style w:type="paragraph" w:styleId="1135">
    <w:name w:val="annotation subject"/>
    <w:basedOn w:val="1133"/>
    <w:next w:val="1133"/>
    <w:link w:val="1136"/>
    <w:uiPriority w:val="99"/>
    <w:semiHidden/>
    <w:unhideWhenUsed/>
    <w:rPr>
      <w:b/>
      <w:bCs/>
    </w:rPr>
  </w:style>
  <w:style w:type="character" w:styleId="1136" w:customStyle="1">
    <w:name w:val="Тема примечания Знак"/>
    <w:basedOn w:val="1134"/>
    <w:link w:val="1135"/>
    <w:uiPriority w:val="99"/>
    <w:semiHidden/>
    <w:rPr>
      <w:b/>
      <w:bCs/>
      <w:sz w:val="20"/>
      <w:szCs w:val="20"/>
    </w:rPr>
  </w:style>
  <w:style w:type="paragraph" w:styleId="1137" w:customStyle="1">
    <w:name w:val="[РГ] Альтернатива / Дополнение"/>
    <w:basedOn w:val="1107"/>
    <w:next w:val="1107"/>
    <w:qFormat/>
    <w:rPr>
      <w:i/>
      <w:shd w:val="clear" w:color="auto" w:fill="ccecff"/>
    </w:rPr>
  </w:style>
  <w:style w:type="character" w:styleId="1138" w:customStyle="1">
    <w:name w:val="[РГ] Инструкция для участника"/>
    <w:basedOn w:val="1098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39">
    <w:name w:val="Revision"/>
    <w:hidden/>
    <w:uiPriority w:val="99"/>
    <w:semiHidden/>
    <w:pPr>
      <w:spacing w:before="0"/>
    </w:pPr>
  </w:style>
  <w:style w:type="character" w:styleId="1140">
    <w:name w:val="FollowedHyperlink"/>
    <w:basedOn w:val="1098"/>
    <w:uiPriority w:val="99"/>
    <w:semiHidden/>
    <w:unhideWhenUsed/>
    <w:rPr>
      <w:color w:val="954f72" w:themeColor="followedHyperlink"/>
      <w:u w:val="single"/>
    </w:rPr>
  </w:style>
  <w:style w:type="paragraph" w:styleId="1141">
    <w:name w:val="List Paragraph"/>
    <w:basedOn w:val="1094"/>
    <w:uiPriority w:val="34"/>
    <w:qFormat/>
    <w:pPr>
      <w:contextualSpacing/>
      <w:ind w:left="720"/>
    </w:pPr>
  </w:style>
  <w:style w:type="paragraph" w:styleId="1142" w:customStyle="1">
    <w:name w:val="Пункт"/>
    <w:basedOn w:val="1094"/>
    <w:link w:val="1143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43" w:customStyle="1">
    <w:name w:val="Пункт Знак2"/>
    <w:link w:val="1142"/>
    <w:rPr>
      <w:rFonts w:eastAsia="Times New Roman" w:cs="Times New Roman"/>
      <w:szCs w:val="26"/>
      <w:lang w:eastAsia="ru-RU"/>
    </w:rPr>
  </w:style>
  <w:style w:type="paragraph" w:styleId="1144" w:customStyle="1">
    <w:name w:val="Подпункт"/>
    <w:basedOn w:val="1142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45" w:customStyle="1">
    <w:name w:val="Подподпункт"/>
    <w:basedOn w:val="1144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46" w:customStyle="1">
    <w:name w:val="Заголовок 1 Знак"/>
    <w:basedOn w:val="1098"/>
    <w:link w:val="1095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47" w:customStyle="1">
    <w:name w:val="Заголовок 2 Знак"/>
    <w:basedOn w:val="1098"/>
    <w:link w:val="1096"/>
    <w:rPr>
      <w:rFonts w:eastAsia="Times New Roman" w:cs="Times New Roman"/>
      <w:b/>
      <w:sz w:val="32"/>
      <w:szCs w:val="26"/>
      <w:lang w:eastAsia="ru-RU"/>
    </w:rPr>
  </w:style>
  <w:style w:type="character" w:styleId="1148" w:customStyle="1">
    <w:name w:val="Заголовок 3 Знак"/>
    <w:basedOn w:val="1098"/>
    <w:link w:val="1097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49" w:customStyle="1">
    <w:name w:val="Table_header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50" w:customStyle="1">
    <w:name w:val="комментарий"/>
    <w:qFormat/>
    <w:rPr>
      <w:b/>
      <w:i/>
      <w:shd w:val="clear" w:color="auto" w:fill="ffff99"/>
    </w:rPr>
  </w:style>
  <w:style w:type="paragraph" w:styleId="1151" w:customStyle="1">
    <w:name w:val="Table_text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2" w:customStyle="1">
    <w:name w:val="Средняя сетка 1 - Акцент 21"/>
    <w:uiPriority w:val="34"/>
    <w:qFormat/>
    <w:pPr>
      <w:contextualSpacing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3" w:customStyle="1">
    <w:name w:val="Plain Text"/>
    <w:uiPriority w:val="99"/>
    <w:semiHidden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54" w:customStyle="1">
    <w:name w:val="Main 14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155" w:customStyle="1">
    <w:name w:val="Основной текст3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jpg"/><Relationship Id="rId13" Type="http://schemas.openxmlformats.org/officeDocument/2006/relationships/hyperlink" Target="https://msp.roseltorg.ru" TargetMode="External"/><Relationship Id="rId14" Type="http://schemas.openxmlformats.org/officeDocument/2006/relationships/hyperlink" Target="http://www.roseltorg.ru/knowledge_db/docs/documents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8" Type="http://schemas.openxmlformats.org/officeDocument/2006/relationships/image" Target="media/image2.png"/><Relationship Id="rId19" Type="http://schemas.openxmlformats.org/officeDocument/2006/relationships/image" Target="media/media1.svg"/><Relationship Id="rId20" Type="http://schemas.openxmlformats.org/officeDocument/2006/relationships/image" Target="media/image3.png"/><Relationship Id="rId21" Type="http://schemas.openxmlformats.org/officeDocument/2006/relationships/image" Target="media/media2.svg"/><Relationship Id="rId22" Type="http://schemas.openxmlformats.org/officeDocument/2006/relationships/image" Target="media/image4.png"/><Relationship Id="rId23" Type="http://schemas.openxmlformats.org/officeDocument/2006/relationships/image" Target="media/media3.svg"/><Relationship Id="rId24" Type="http://schemas.openxmlformats.org/officeDocument/2006/relationships/comments" Target="comments.xml" /><Relationship Id="rId25" Type="http://schemas.microsoft.com/office/2011/relationships/commentsExtended" Target="commentsExtended.xml" /><Relationship Id="rId26" Type="http://schemas.microsoft.com/office/2018/08/relationships/commentsExtensible" Target="commentsExtensible.xml" /><Relationship Id="rId27" Type="http://schemas.microsoft.com/office/2016/09/relationships/commentsIds" Target="commentsIds.xml" /><Relationship Id="rId28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lukyanova_ts</cp:lastModifiedBy>
  <cp:revision>191</cp:revision>
  <dcterms:created xsi:type="dcterms:W3CDTF">2023-08-16T07:54:00Z</dcterms:created>
  <dcterms:modified xsi:type="dcterms:W3CDTF">2026-06-16T00:08:00Z</dcterms:modified>
</cp:coreProperties>
</file>